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 xml:space="preserve">12  </w:t>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b/>
          <w:bCs/>
          <w:sz w:val="28"/>
          <w:szCs w:val="24"/>
          <w:lang w:val="en-US" w:eastAsia="zh-CN"/>
        </w:rPr>
        <w:t xml:space="preserve">     </w:t>
      </w:r>
      <w:r>
        <w:rPr>
          <w:rFonts w:hint="default"/>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30</w:t>
      </w:r>
      <w:r>
        <w:rPr>
          <w:rFonts w:hint="default" w:eastAsia="Batang"/>
          <w:b/>
          <w:bCs/>
          <w:sz w:val="28"/>
          <w:szCs w:val="24"/>
          <w:lang w:val="en-US" w:eastAsia="en-US"/>
        </w:rPr>
        <w:t>1019</w:t>
      </w:r>
    </w:p>
    <w:p>
      <w:pPr>
        <w:widowControl w:val="0"/>
        <w:spacing w:after="0"/>
        <w:jc w:val="both"/>
        <w:rPr>
          <w:rFonts w:eastAsia="Batang"/>
          <w:b/>
          <w:bCs/>
          <w:sz w:val="28"/>
          <w:szCs w:val="24"/>
          <w:lang w:eastAsia="en-US"/>
        </w:rPr>
      </w:pPr>
      <w:r>
        <w:rPr>
          <w:rFonts w:hint="eastAsia" w:eastAsia="Batang"/>
          <w:b/>
          <w:bCs/>
          <w:sz w:val="28"/>
          <w:szCs w:val="24"/>
          <w:lang w:eastAsia="en-US"/>
        </w:rPr>
        <w:t>Athens, Greece, February 27</w:t>
      </w:r>
      <w:r>
        <w:rPr>
          <w:rFonts w:hint="eastAsia" w:eastAsia="Batang"/>
          <w:b/>
          <w:bCs/>
          <w:sz w:val="28"/>
          <w:szCs w:val="24"/>
          <w:vertAlign w:val="superscript"/>
          <w:lang w:eastAsia="en-US"/>
        </w:rPr>
        <w:t>th</w:t>
      </w:r>
      <w:r>
        <w:rPr>
          <w:rFonts w:hint="eastAsia" w:eastAsia="Batang"/>
          <w:b/>
          <w:bCs/>
          <w:sz w:val="28"/>
          <w:szCs w:val="24"/>
          <w:lang w:eastAsia="en-US"/>
        </w:rPr>
        <w:t xml:space="preserve"> – March 3</w:t>
      </w:r>
      <w:r>
        <w:rPr>
          <w:rFonts w:hint="eastAsia" w:eastAsia="Batang"/>
          <w:b/>
          <w:bCs/>
          <w:sz w:val="28"/>
          <w:szCs w:val="24"/>
          <w:vertAlign w:val="superscript"/>
          <w:lang w:eastAsia="en-US"/>
        </w:rPr>
        <w:t>rd</w:t>
      </w:r>
      <w:r>
        <w:rPr>
          <w:rFonts w:hint="eastAsia" w:eastAsia="Batang"/>
          <w:b/>
          <w:bCs/>
          <w:sz w:val="28"/>
          <w:szCs w:val="24"/>
          <w:lang w:eastAsia="en-US"/>
        </w:rPr>
        <w:t>, 2023</w:t>
      </w:r>
    </w:p>
    <w:p>
      <w:pPr>
        <w:widowControl w:val="0"/>
        <w:spacing w:after="0"/>
        <w:jc w:val="both"/>
        <w:rPr>
          <w:rFonts w:eastAsia="Batang"/>
          <w:b/>
          <w:bCs/>
          <w:sz w:val="28"/>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multi-carrier UL Tx switching scheme</w:t>
      </w:r>
    </w:p>
    <w:bookmarkEnd w:id="0"/>
    <w:bookmarkEnd w:id="1"/>
    <w:p>
      <w:pPr>
        <w:pStyle w:val="105"/>
        <w:spacing w:after="0"/>
        <w:rPr>
          <w:rFonts w:ascii="Times New Roman" w:hAnsi="Times New Roman"/>
          <w:sz w:val="24"/>
          <w:szCs w:val="24"/>
          <w:lang w:val="en-US"/>
        </w:rPr>
      </w:pPr>
      <w:bookmarkStart w:id="3" w:name="_Toc120549591"/>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9.9</w:t>
      </w:r>
      <w:r>
        <w:rPr>
          <w:rFonts w:ascii="Times New Roman" w:hAnsi="Times New Roman"/>
          <w:sz w:val="24"/>
          <w:szCs w:val="24"/>
          <w:lang w:eastAsia="zh-CN"/>
        </w:rPr>
        <w:t>.</w:t>
      </w:r>
      <w:r>
        <w:rPr>
          <w:rFonts w:ascii="Times New Roman" w:hAnsi="Times New Roman"/>
          <w:sz w:val="24"/>
          <w:szCs w:val="24"/>
          <w:lang w:val="en-US" w:eastAsia="zh-CN"/>
        </w:rPr>
        <w:t>2</w:t>
      </w:r>
    </w:p>
    <w:p>
      <w:pPr>
        <w:pStyle w:val="105"/>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pPr>
        <w:pStyle w:val="2"/>
        <w:numPr>
          <w:ilvl w:val="0"/>
          <w:numId w:val="5"/>
        </w:numPr>
        <w:rPr>
          <w:rFonts w:ascii="Times New Roman" w:hAnsi="Times New Roman"/>
        </w:rPr>
      </w:pPr>
      <w:r>
        <w:rPr>
          <w:rFonts w:ascii="Times New Roman" w:hAnsi="Times New Roman"/>
        </w:rPr>
        <w:t>Introduction</w:t>
      </w:r>
      <w:bookmarkEnd w:id="3"/>
    </w:p>
    <w:p>
      <w:pPr>
        <w:spacing w:after="120"/>
        <w:jc w:val="both"/>
        <w:rPr>
          <w:lang w:val="en-US" w:eastAsia="zh-CN"/>
        </w:rPr>
      </w:pPr>
      <w:r>
        <w:rPr>
          <w:rFonts w:hint="eastAsia"/>
          <w:lang w:val="en-US" w:eastAsia="zh-CN"/>
        </w:rPr>
        <w:t>During</w:t>
      </w:r>
      <w:r>
        <w:rPr>
          <w:lang w:eastAsia="zh-CN"/>
        </w:rPr>
        <w:t xml:space="preserve"> last RAN1</w:t>
      </w:r>
      <w:r>
        <w:rPr>
          <w:lang w:val="en-US" w:eastAsia="zh-CN"/>
        </w:rPr>
        <w:t xml:space="preserve"> </w:t>
      </w:r>
      <w:r>
        <w:rPr>
          <w:lang w:eastAsia="zh-CN"/>
        </w:rPr>
        <w:t>meeting,</w:t>
      </w:r>
      <w:r>
        <w:rPr>
          <w:lang w:val="en-US" w:eastAsia="zh-CN"/>
        </w:rPr>
        <w:t xml:space="preserve"> the supported switching cases, detail</w:t>
      </w:r>
      <w:r>
        <w:rPr>
          <w:rFonts w:hint="eastAsia"/>
          <w:lang w:val="en-US" w:eastAsia="zh-CN"/>
        </w:rPr>
        <w:t xml:space="preserve">s </w:t>
      </w:r>
      <w:r>
        <w:rPr>
          <w:lang w:val="en-US" w:eastAsia="zh-CN"/>
        </w:rPr>
        <w:t>on</w:t>
      </w:r>
      <w:r>
        <w:rPr>
          <w:rFonts w:hint="eastAsia"/>
          <w:lang w:val="en-US" w:eastAsia="zh-CN"/>
        </w:rPr>
        <w:t xml:space="preserve"> </w:t>
      </w:r>
      <w:r>
        <w:rPr>
          <w:lang w:val="en-US" w:eastAsia="zh-CN"/>
        </w:rPr>
        <w:t xml:space="preserve">the complexity reduction schemes and ambiguity issues of the dynamic switching mechanisms for Rel-18 multi-carrier UL Tx switching </w:t>
      </w:r>
      <w:r>
        <w:rPr>
          <w:rFonts w:hint="eastAsia"/>
          <w:lang w:val="en-US" w:eastAsia="zh-CN"/>
        </w:rPr>
        <w:t>were discussed</w:t>
      </w:r>
      <w:r>
        <w:rPr>
          <w:lang w:val="en-US" w:eastAsia="zh-CN"/>
        </w:rPr>
        <w:t xml:space="preserve"> and several conclusions were arrived </w:t>
      </w:r>
      <w:r>
        <w:rPr>
          <w:lang w:eastAsia="zh-CN"/>
        </w:rPr>
        <w:t>[</w:t>
      </w:r>
      <w:r>
        <w:rPr>
          <w:lang w:val="en-US" w:eastAsia="zh-CN"/>
        </w:rPr>
        <w:t>1</w:t>
      </w:r>
      <w:r>
        <w:rPr>
          <w:lang w:eastAsia="zh-CN"/>
        </w:rPr>
        <w:t>]</w:t>
      </w:r>
      <w:r>
        <w:rPr>
          <w:lang w:val="en-US" w:eastAsia="zh-CN"/>
        </w:rPr>
        <w:t>.</w:t>
      </w:r>
    </w:p>
    <w:p>
      <w:pPr>
        <w:jc w:val="both"/>
        <w:rPr>
          <w:lang w:val="en-US" w:eastAsia="zh-CN"/>
        </w:rPr>
      </w:pPr>
      <w:r>
        <w:rPr>
          <w:lang w:eastAsia="zh-CN"/>
        </w:rPr>
        <w:t xml:space="preserve">In this contribution, we will </w:t>
      </w:r>
      <w:r>
        <w:rPr>
          <w:lang w:val="en-US" w:eastAsia="zh-CN"/>
        </w:rPr>
        <w:t xml:space="preserve">further </w:t>
      </w:r>
      <w:r>
        <w:rPr>
          <w:lang w:eastAsia="zh-CN"/>
        </w:rPr>
        <w:t>discuss</w:t>
      </w:r>
      <w:r>
        <w:rPr>
          <w:rFonts w:hint="eastAsia"/>
          <w:lang w:val="en-US" w:eastAsia="zh-CN"/>
        </w:rPr>
        <w:t xml:space="preserve"> and share our views on</w:t>
      </w:r>
      <w:r>
        <w:rPr>
          <w:lang w:val="en-US" w:eastAsia="zh-CN"/>
        </w:rPr>
        <w:t xml:space="preserve"> the remaining issues on</w:t>
      </w:r>
      <w:r>
        <w:rPr>
          <w:rFonts w:hint="eastAsia"/>
          <w:lang w:val="en-US" w:eastAsia="zh-CN"/>
        </w:rPr>
        <w:t xml:space="preserve"> </w:t>
      </w:r>
      <w:r>
        <w:rPr>
          <w:lang w:val="en-US" w:eastAsia="zh-CN"/>
        </w:rPr>
        <w:t xml:space="preserve">multi-carrier </w:t>
      </w:r>
      <w:r>
        <w:rPr>
          <w:rFonts w:hint="eastAsia"/>
          <w:lang w:val="en-US" w:eastAsia="zh-CN"/>
        </w:rPr>
        <w:t>UL Tx switching schemes</w:t>
      </w:r>
      <w:r>
        <w:rPr>
          <w:lang w:val="en-US" w:eastAsia="zh-CN"/>
        </w:rPr>
        <w:t xml:space="preserve">, including </w:t>
      </w:r>
      <w:r>
        <w:rPr>
          <w:rFonts w:hint="eastAsia"/>
          <w:lang w:val="en-US" w:eastAsia="zh-CN"/>
        </w:rPr>
        <w:t>ambiguity issue on switching period location</w:t>
      </w:r>
      <w:r>
        <w:rPr>
          <w:lang w:val="en-US" w:eastAsia="zh-CN"/>
        </w:rPr>
        <w:t xml:space="preserve"> and restrictions of Tx switching for some special switching cases.</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sz w:val="21"/>
          <w:szCs w:val="21"/>
          <w:lang w:val="en-US"/>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hint="eastAsia" w:ascii="Times New Roman" w:hAnsi="Times New Roman"/>
          <w:lang w:val="en-US" w:eastAsia="zh-CN"/>
        </w:rPr>
        <w:t>Ambiguous issues on switching period location</w:t>
      </w:r>
    </w:p>
    <w:p>
      <w:pPr>
        <w:jc w:val="both"/>
        <w:rPr>
          <w:bCs/>
          <w:lang w:val="en-US" w:eastAsia="zh-CN"/>
        </w:rPr>
      </w:pPr>
      <w:r>
        <w:rPr>
          <w:lang w:val="en-US"/>
        </w:rPr>
        <w:t xml:space="preserve">As the switching capability is enabled across 3 or 4 bands for Rel-18 UL Tx switching, the switching cases of different band combination scenarios compared with Rel-16/17 become more complicated. </w:t>
      </w:r>
      <w:r>
        <w:rPr>
          <w:bCs/>
          <w:lang w:val="en-US" w:eastAsia="zh-CN"/>
        </w:rPr>
        <w:t xml:space="preserve">One of the remaining issues on Rel-18 UL Tx switching mechanism is the ambiguity on switching period location switching state due to the increasing switching cases in Rel-18. </w:t>
      </w:r>
    </w:p>
    <w:p>
      <w:pPr>
        <w:jc w:val="both"/>
        <w:rPr>
          <w:bCs/>
          <w:lang w:val="en-US" w:eastAsia="zh-CN"/>
        </w:rPr>
      </w:pPr>
      <w:r>
        <w:rPr>
          <w:bCs/>
          <w:lang w:val="en-US" w:eastAsia="zh-CN"/>
        </w:rPr>
        <w:t xml:space="preserve">In Rel-16/17, the location of switching period can be determined through RRC configuration for UL Tx switching between 2 bands within a band pair, and the RRC parameter </w:t>
      </w:r>
      <w:r>
        <w:rPr>
          <w:bCs/>
          <w:i/>
          <w:iCs/>
          <w:lang w:val="en-US" w:eastAsia="zh-CN"/>
        </w:rPr>
        <w:t>uplinkTxSwitchingPeriodLocation</w:t>
      </w:r>
      <w:r>
        <w:rPr>
          <w:bCs/>
          <w:lang w:val="en-US" w:eastAsia="zh-CN"/>
        </w:rPr>
        <w:t xml:space="preserve"> is configured to TRUE or FALSE to indicate whether the location of switching period is configured in the corresponding uplink carrier. While for Rel-18, RAN4 has agreed to reuse the Rel-16/17 approach (i.e., semi-static configuration of switching period on one of the band for each switching band pair) and further details for Rel-18 Tx switching </w:t>
      </w:r>
      <w:r>
        <w:rPr>
          <w:rFonts w:hint="eastAsia"/>
          <w:bCs/>
          <w:lang w:val="en-US" w:eastAsia="zh-CN"/>
        </w:rPr>
        <w:t>are</w:t>
      </w:r>
      <w:r>
        <w:rPr>
          <w:bCs/>
          <w:lang w:val="en-US" w:eastAsia="zh-CN"/>
        </w:rPr>
        <w:t xml:space="preserve"> discussed in RAN1. </w:t>
      </w:r>
    </w:p>
    <w:p>
      <w:pPr>
        <w:jc w:val="both"/>
        <w:rPr>
          <w:bCs/>
          <w:lang w:val="en-US" w:eastAsia="zh-CN"/>
        </w:rPr>
      </w:pPr>
      <w:r>
        <w:rPr>
          <w:bCs/>
          <w:lang w:val="en-US" w:eastAsia="zh-CN"/>
        </w:rPr>
        <w:t>Considering that more than one band pair can be configured simultaneously in Rel-18 UL Tx switching,</w:t>
      </w:r>
      <w:r>
        <w:rPr>
          <w:rFonts w:eastAsia="MS Mincho"/>
        </w:rPr>
        <w:t xml:space="preserve"> multiple bands may be configured with switching period location as TRUE</w:t>
      </w:r>
      <w:r>
        <w:rPr>
          <w:bCs/>
          <w:lang w:val="en-US" w:eastAsia="zh-CN"/>
        </w:rPr>
        <w:t xml:space="preserve"> if reusing Rel-16/17 configuration only, which is not effective to determine the exact location of the switching period. Several </w:t>
      </w:r>
      <w:r>
        <w:rPr>
          <w:rFonts w:cs="Times"/>
          <w:bCs/>
          <w:lang w:val="en-US"/>
        </w:rPr>
        <w:t>possible alternatives of how to determine the certain band that the switching period is located on discussed in the last RAN1 meeting are listed below, which can be further discussed and down-selected [2].</w:t>
      </w:r>
      <w:r>
        <w:rPr>
          <w:rFonts w:cs="Times"/>
          <w:bCs/>
        </w:rPr>
        <w:t xml:space="preserve"> </w:t>
      </w:r>
    </w:p>
    <w:tbl>
      <w:tblPr>
        <w:tblStyle w:val="50"/>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overflowPunct w:val="0"/>
              <w:autoSpaceDE w:val="0"/>
              <w:autoSpaceDN w:val="0"/>
              <w:adjustRightInd w:val="0"/>
              <w:textAlignment w:val="baseline"/>
              <w:outlineLvl w:val="2"/>
              <w:rPr>
                <w:rFonts w:eastAsia="MS Mincho"/>
                <w:b/>
                <w:bCs/>
                <w:sz w:val="20"/>
                <w:szCs w:val="20"/>
                <w:u w:val="single"/>
              </w:rPr>
            </w:pPr>
            <w:r>
              <w:rPr>
                <w:rFonts w:eastAsia="MS Mincho"/>
                <w:b/>
                <w:bCs/>
                <w:sz w:val="20"/>
                <w:szCs w:val="20"/>
                <w:u w:val="single"/>
              </w:rPr>
              <w:t>Updated proposed agreement 6</w:t>
            </w:r>
          </w:p>
          <w:p>
            <w:pPr>
              <w:overflowPunct w:val="0"/>
              <w:autoSpaceDE w:val="0"/>
              <w:autoSpaceDN w:val="0"/>
              <w:adjustRightInd w:val="0"/>
              <w:spacing w:after="120" w:afterLines="50"/>
              <w:jc w:val="both"/>
              <w:textAlignment w:val="baseline"/>
              <w:rPr>
                <w:rFonts w:eastAsia="MS Mincho"/>
              </w:rPr>
            </w:pPr>
            <w:r>
              <w:rPr>
                <w:rFonts w:eastAsia="MS Mincho"/>
              </w:rPr>
              <w:t>Down-select a solution for the ambiguity issue on switching period location from following alternatives.</w:t>
            </w:r>
          </w:p>
          <w:p>
            <w:pPr>
              <w:pStyle w:val="135"/>
              <w:numPr>
                <w:ilvl w:val="0"/>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Alt.1: switching period location is configured per band pair</w:t>
            </w:r>
          </w:p>
          <w:p>
            <w:pPr>
              <w:pStyle w:val="135"/>
              <w:numPr>
                <w:ilvl w:val="1"/>
                <w:numId w:val="6"/>
              </w:numPr>
              <w:overflowPunct/>
              <w:autoSpaceDE/>
              <w:autoSpaceDN/>
              <w:adjustRightInd/>
              <w:spacing w:after="120" w:afterLines="50"/>
              <w:ind w:left="839" w:leftChars="0"/>
              <w:jc w:val="both"/>
              <w:textAlignment w:val="auto"/>
              <w:rPr>
                <w:rFonts w:eastAsia="MS Mincho"/>
                <w:szCs w:val="20"/>
              </w:rPr>
            </w:pPr>
            <w:r>
              <w:rPr>
                <w:rFonts w:eastAsia="MS Mincho"/>
                <w:szCs w:val="20"/>
              </w:rPr>
              <w:t>If there are multiple bands configured with switching period location as TRUE in the bands involved in a switching, the switching period location is determined to highest carrier frequency among the bands configured with switching period location as TRUE</w:t>
            </w:r>
          </w:p>
          <w:p>
            <w:pPr>
              <w:pStyle w:val="135"/>
              <w:numPr>
                <w:ilvl w:val="0"/>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Alt.2: switching period location is configured per band pair, and the priority list of bands is also configured</w:t>
            </w:r>
          </w:p>
          <w:p>
            <w:pPr>
              <w:pStyle w:val="135"/>
              <w:numPr>
                <w:ilvl w:val="1"/>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If there are multiple bands configured with switching period location as TRUE in the bands involved in a switching, the switching period location is determined to the band with lowest priority among bands configured with switching period location as TRUE</w:t>
            </w:r>
          </w:p>
          <w:p>
            <w:pPr>
              <w:pStyle w:val="135"/>
              <w:numPr>
                <w:ilvl w:val="0"/>
                <w:numId w:val="6"/>
              </w:numPr>
              <w:overflowPunct w:val="0"/>
              <w:autoSpaceDE w:val="0"/>
              <w:autoSpaceDN w:val="0"/>
              <w:adjustRightInd w:val="0"/>
              <w:spacing w:after="120" w:afterLines="50"/>
              <w:ind w:leftChars="0"/>
              <w:jc w:val="both"/>
              <w:textAlignment w:val="baseline"/>
              <w:rPr>
                <w:rFonts w:eastAsia="MS Mincho"/>
                <w:szCs w:val="20"/>
              </w:rPr>
            </w:pPr>
            <w:r>
              <w:rPr>
                <w:rFonts w:hint="eastAsia" w:eastAsia="MS Mincho"/>
                <w:szCs w:val="20"/>
              </w:rPr>
              <w:t>A</w:t>
            </w:r>
            <w:r>
              <w:rPr>
                <w:rFonts w:eastAsia="MS Mincho"/>
                <w:szCs w:val="20"/>
              </w:rPr>
              <w:t>lt.3: gNB configures “switching-from band” or “switching-to band”</w:t>
            </w:r>
          </w:p>
          <w:p>
            <w:pPr>
              <w:pStyle w:val="135"/>
              <w:numPr>
                <w:ilvl w:val="1"/>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If gNB configures “switching-from band” as switching period location, switching period is located on band(s) where preceding transmission is performed</w:t>
            </w:r>
          </w:p>
          <w:p>
            <w:pPr>
              <w:pStyle w:val="135"/>
              <w:numPr>
                <w:ilvl w:val="0"/>
                <w:numId w:val="6"/>
              </w:numPr>
              <w:overflowPunct w:val="0"/>
              <w:autoSpaceDE w:val="0"/>
              <w:autoSpaceDN w:val="0"/>
              <w:adjustRightInd w:val="0"/>
              <w:spacing w:after="120" w:afterLines="50"/>
              <w:ind w:leftChars="0"/>
              <w:jc w:val="both"/>
              <w:textAlignment w:val="baseline"/>
              <w:rPr>
                <w:rFonts w:eastAsia="MS Mincho"/>
                <w:szCs w:val="20"/>
              </w:rPr>
            </w:pPr>
            <w:r>
              <w:rPr>
                <w:rFonts w:hint="eastAsia" w:eastAsia="MS Mincho"/>
                <w:szCs w:val="20"/>
              </w:rPr>
              <w:t>A</w:t>
            </w:r>
            <w:r>
              <w:rPr>
                <w:rFonts w:eastAsia="MS Mincho"/>
                <w:szCs w:val="20"/>
              </w:rPr>
              <w:t>lt.4: gNB configures switching period location per switching case</w:t>
            </w:r>
          </w:p>
          <w:p>
            <w:pPr>
              <w:pStyle w:val="135"/>
              <w:numPr>
                <w:ilvl w:val="1"/>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In 3 bands case, gNB configures switching period location for each of switching case pair such as {A - B}, {A - C}, {B - C}, {A+B - C}, {A+C - B}, {B+C - A}</w:t>
            </w:r>
          </w:p>
          <w:p>
            <w:pPr>
              <w:pStyle w:val="135"/>
              <w:numPr>
                <w:ilvl w:val="1"/>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In 4 bands case, gNB configures switching period location for each of switching case pair such as {A - B}, {A - C}, {A - D}, {B - C}, {B - D}, {C - D}, {A+B - C}, {A+B - D}, {A+C - B}, {A+C - D}, {A+D - B}, {A+D - C}, {B+C - A}, {B+C - D}, {B+D - A}, {B+D - C}, {C+D - A}, {C+D - B}, {A+B – C+D}, {A+C – B+D}, {A+D – B+C}</w:t>
            </w:r>
          </w:p>
          <w:p>
            <w:pPr>
              <w:pStyle w:val="135"/>
              <w:numPr>
                <w:ilvl w:val="0"/>
                <w:numId w:val="6"/>
              </w:numPr>
              <w:overflowPunct w:val="0"/>
              <w:autoSpaceDE w:val="0"/>
              <w:autoSpaceDN w:val="0"/>
              <w:adjustRightInd w:val="0"/>
              <w:spacing w:after="120" w:afterLines="50"/>
              <w:ind w:leftChars="0"/>
              <w:jc w:val="both"/>
              <w:textAlignment w:val="baseline"/>
              <w:rPr>
                <w:rFonts w:eastAsia="MS Mincho"/>
                <w:szCs w:val="20"/>
              </w:rPr>
            </w:pPr>
            <w:r>
              <w:rPr>
                <w:rFonts w:hint="eastAsia" w:eastAsia="MS Mincho"/>
                <w:szCs w:val="20"/>
              </w:rPr>
              <w:t>A</w:t>
            </w:r>
            <w:r>
              <w:rPr>
                <w:rFonts w:eastAsia="MS Mincho"/>
                <w:szCs w:val="20"/>
              </w:rPr>
              <w:t>lt.4</w:t>
            </w:r>
            <w:r>
              <w:rPr>
                <w:rFonts w:hint="eastAsia" w:eastAsia="MS Mincho"/>
                <w:szCs w:val="20"/>
              </w:rPr>
              <w:t>-rev</w:t>
            </w:r>
            <w:r>
              <w:rPr>
                <w:rFonts w:eastAsia="MS Mincho"/>
                <w:szCs w:val="20"/>
              </w:rPr>
              <w:t>: gNB configures switching period location per configured 3 or 4 bands</w:t>
            </w:r>
          </w:p>
          <w:p>
            <w:pPr>
              <w:pStyle w:val="135"/>
              <w:numPr>
                <w:ilvl w:val="1"/>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In 3 bands case, gNB configures switching period location for each of switching case pair such as {A, B}, {A, C}, {B, C}, {A, B, C}</w:t>
            </w:r>
          </w:p>
          <w:p>
            <w:pPr>
              <w:pStyle w:val="135"/>
              <w:numPr>
                <w:ilvl w:val="1"/>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rPr>
              <w:t>In 4 bands case, gNB configures switching period location for each of switching case pair such as {A, B}, {A, C}, {A, D}, {B, C}, {B, D}, {C, D}, {A, B, C}, {A, B, D}, {B, C, D}, {A, B, C, D}</w:t>
            </w:r>
          </w:p>
          <w:p>
            <w:pPr>
              <w:pStyle w:val="135"/>
              <w:numPr>
                <w:ilvl w:val="0"/>
                <w:numId w:val="6"/>
              </w:numPr>
              <w:overflowPunct w:val="0"/>
              <w:autoSpaceDE w:val="0"/>
              <w:autoSpaceDN w:val="0"/>
              <w:adjustRightInd w:val="0"/>
              <w:spacing w:after="120" w:afterLines="50"/>
              <w:ind w:leftChars="0"/>
              <w:jc w:val="both"/>
              <w:textAlignment w:val="baseline"/>
              <w:rPr>
                <w:rFonts w:eastAsia="MS Mincho"/>
                <w:szCs w:val="20"/>
              </w:rPr>
            </w:pPr>
            <w:r>
              <w:rPr>
                <w:rFonts w:eastAsia="MS Mincho"/>
                <w:szCs w:val="20"/>
                <w:lang w:val="en-US"/>
              </w:rPr>
              <w:t xml:space="preserve">Alt.5: </w:t>
            </w:r>
            <w:r>
              <w:rPr>
                <w:rFonts w:eastAsia="MS Mincho"/>
                <w:szCs w:val="20"/>
              </w:rPr>
              <w:t>gNB configures priorities to each carrier/band.</w:t>
            </w:r>
          </w:p>
          <w:p>
            <w:pPr>
              <w:pStyle w:val="135"/>
              <w:numPr>
                <w:ilvl w:val="1"/>
                <w:numId w:val="6"/>
              </w:numPr>
              <w:overflowPunct w:val="0"/>
              <w:autoSpaceDE w:val="0"/>
              <w:autoSpaceDN w:val="0"/>
              <w:adjustRightInd w:val="0"/>
              <w:spacing w:after="120" w:afterLines="50"/>
              <w:ind w:leftChars="0"/>
              <w:jc w:val="both"/>
              <w:textAlignment w:val="baseline"/>
              <w:rPr>
                <w:rFonts w:eastAsia="MS Mincho"/>
                <w:bCs/>
                <w:iCs/>
                <w:lang w:eastAsia="en-US"/>
              </w:rPr>
            </w:pPr>
            <w:r>
              <w:rPr>
                <w:rFonts w:eastAsia="MS Mincho"/>
                <w:szCs w:val="20"/>
              </w:rPr>
              <w:t>The UE determines the switching period location on the band that is not with the highest priority.</w:t>
            </w:r>
          </w:p>
        </w:tc>
      </w:tr>
    </w:tbl>
    <w:p>
      <w:pPr>
        <w:jc w:val="both"/>
        <w:rPr>
          <w:lang w:val="en-US" w:eastAsia="zh-CN"/>
        </w:rPr>
      </w:pPr>
      <w:r>
        <w:rPr>
          <w:lang w:val="en-US" w:eastAsia="zh-CN"/>
        </w:rPr>
        <w:t>Alt.1 and Alt.2 both solve the ambiguity problem of switching period location based on the extension of Rel-16/17 semi-configuration. Regarding Alt.1, the switching period is located on the band with highest carrier frequency among the bands by default rule. However, this alternative may lead to some unexpected performance loss without taking into account other aspects, because the Tx switching performance is independent from the carrier frequency priority in different deployment scenarios.</w:t>
      </w:r>
    </w:p>
    <w:p>
      <w:pPr>
        <w:jc w:val="both"/>
        <w:rPr>
          <w:lang w:val="en-US" w:eastAsia="zh-CN"/>
        </w:rPr>
      </w:pPr>
      <w:r>
        <w:rPr>
          <w:lang w:val="en-US" w:eastAsia="zh-CN"/>
        </w:rPr>
        <w:t>For Alt.2, it is straightforward to determine the certain location of switching period based on the pre-defined prioritization among the configured bands. T</w:t>
      </w:r>
      <w:r>
        <w:rPr>
          <w:rFonts w:eastAsia="MS Mincho"/>
        </w:rPr>
        <w:t>he priority list of bands</w:t>
      </w:r>
      <w:r>
        <w:rPr>
          <w:rFonts w:eastAsia="MS Mincho"/>
          <w:lang w:val="en-US"/>
        </w:rPr>
        <w:t xml:space="preserve"> is configured based on gNB determination by taking the performance gain and other conditions into account, e.g., the band that</w:t>
      </w:r>
      <w:r>
        <w:rPr>
          <w:rFonts w:hint="default" w:eastAsia="MS Mincho"/>
          <w:lang w:val="en-US"/>
        </w:rPr>
        <w:t xml:space="preserve"> </w:t>
      </w:r>
      <w:r>
        <w:rPr>
          <w:rFonts w:eastAsia="MS Mincho"/>
          <w:lang w:val="en-US"/>
        </w:rPr>
        <w:t>provide</w:t>
      </w:r>
      <w:r>
        <w:rPr>
          <w:rFonts w:hint="default" w:eastAsia="MS Mincho"/>
          <w:lang w:val="en-US"/>
        </w:rPr>
        <w:t>s</w:t>
      </w:r>
      <w:r>
        <w:rPr>
          <w:rFonts w:eastAsia="MS Mincho"/>
          <w:lang w:val="en-US"/>
        </w:rPr>
        <w:t xml:space="preserve"> better performance can be configured with higher priority.</w:t>
      </w:r>
      <w:r>
        <w:rPr>
          <w:lang w:val="en-US" w:eastAsia="zh-CN"/>
        </w:rPr>
        <w:t xml:space="preserve"> Thus, we prefer Alt.2 to solve the ambiguity issue on switching period location, when more than one band are configured with switching period location as TRUE in the bands involved in a switching, the switching period can be located on the band with the lowest priority. </w:t>
      </w:r>
    </w:p>
    <w:p>
      <w:pPr>
        <w:jc w:val="both"/>
        <w:rPr>
          <w:rFonts w:eastAsia="MS Mincho"/>
          <w:lang w:val="en-US" w:eastAsia="zh-CN"/>
        </w:rPr>
      </w:pPr>
      <w:r>
        <w:rPr>
          <w:rFonts w:eastAsia="MS Mincho"/>
          <w:lang w:val="en-US"/>
        </w:rPr>
        <w:t xml:space="preserve">While the other alternatives listed above are independent from the Rel-16/17 RRC configuration. </w:t>
      </w:r>
      <w:r>
        <w:rPr>
          <w:lang w:val="en-US" w:eastAsia="zh-CN"/>
        </w:rPr>
        <w:t xml:space="preserve">Regarding Alt.3, it is possible that there are two bands in current transmission or two target bands in the next transmission considering the various switching cases of UL Tx switching across 3 or 4 bands. </w:t>
      </w:r>
      <w:r>
        <w:rPr>
          <w:lang w:eastAsia="zh-CN"/>
        </w:rPr>
        <w:t xml:space="preserve">For example, assuming that the current transmission is 1 </w:t>
      </w:r>
      <w:r>
        <w:rPr>
          <w:lang w:val="en-US" w:eastAsia="zh-CN"/>
        </w:rPr>
        <w:t>Tx</w:t>
      </w:r>
      <w:r>
        <w:rPr>
          <w:lang w:eastAsia="zh-CN"/>
        </w:rPr>
        <w:t xml:space="preserve"> transmission on band </w:t>
      </w:r>
      <w:r>
        <w:rPr>
          <w:lang w:val="en-US" w:eastAsia="zh-CN"/>
        </w:rPr>
        <w:t xml:space="preserve">A and </w:t>
      </w:r>
      <w:r>
        <w:rPr>
          <w:lang w:eastAsia="zh-CN"/>
        </w:rPr>
        <w:t xml:space="preserve">1 </w:t>
      </w:r>
      <w:r>
        <w:rPr>
          <w:lang w:val="en-US" w:eastAsia="zh-CN"/>
        </w:rPr>
        <w:t>Tx</w:t>
      </w:r>
      <w:r>
        <w:rPr>
          <w:lang w:eastAsia="zh-CN"/>
        </w:rPr>
        <w:t xml:space="preserve"> transmission on</w:t>
      </w:r>
      <w:r>
        <w:rPr>
          <w:lang w:val="en-US" w:eastAsia="zh-CN"/>
        </w:rPr>
        <w:t xml:space="preserve"> band B,</w:t>
      </w:r>
      <w:r>
        <w:rPr>
          <w:lang w:eastAsia="zh-CN"/>
        </w:rPr>
        <w:t xml:space="preserve"> and </w:t>
      </w:r>
      <w:r>
        <w:rPr>
          <w:lang w:val="en-US" w:eastAsia="zh-CN"/>
        </w:rPr>
        <w:t xml:space="preserve">the </w:t>
      </w:r>
      <w:r>
        <w:rPr>
          <w:lang w:eastAsia="zh-CN"/>
        </w:rPr>
        <w:t xml:space="preserve">next transmission is </w:t>
      </w:r>
      <w:r>
        <w:rPr>
          <w:lang w:val="en-US" w:eastAsia="zh-CN"/>
        </w:rPr>
        <w:t>2Tx chains</w:t>
      </w:r>
      <w:r>
        <w:rPr>
          <w:lang w:eastAsia="zh-CN"/>
        </w:rPr>
        <w:t xml:space="preserve"> on band </w:t>
      </w:r>
      <w:r>
        <w:rPr>
          <w:lang w:val="en-US" w:eastAsia="zh-CN"/>
        </w:rPr>
        <w:t>C</w:t>
      </w:r>
      <w:r>
        <w:rPr>
          <w:lang w:eastAsia="zh-CN"/>
        </w:rPr>
        <w:t xml:space="preserve">. </w:t>
      </w:r>
      <w:r>
        <w:rPr>
          <w:rFonts w:eastAsia="MS Mincho"/>
        </w:rPr>
        <w:t>If gNB configures “switching-from band” as switching period location,</w:t>
      </w:r>
      <w:r>
        <w:rPr>
          <w:rFonts w:eastAsia="MS Mincho"/>
          <w:lang w:val="en-US"/>
        </w:rPr>
        <w:t xml:space="preserve"> then the switching period can be located on both band A and band B. In this case, the ambiguity issue still exists when the “switching-from band” or “switching-to band” is not unique, and additional rules are needed to determine </w:t>
      </w:r>
      <w:r>
        <w:rPr>
          <w:lang w:val="en-US" w:eastAsia="zh-CN"/>
        </w:rPr>
        <w:t>on which band the switching period is located</w:t>
      </w:r>
      <w:r>
        <w:rPr>
          <w:rFonts w:eastAsia="MS Mincho"/>
          <w:lang w:val="en-US"/>
        </w:rPr>
        <w:t xml:space="preserve">. </w:t>
      </w:r>
      <w:r>
        <w:rPr>
          <w:rFonts w:eastAsia="MS Mincho"/>
          <w:lang w:val="en-US" w:eastAsia="zh-CN"/>
        </w:rPr>
        <w:t>The switching period location determined per switching case in Alt.4 may require larger signalling overhead considering a large number of possible</w:t>
      </w:r>
      <w:r>
        <w:rPr>
          <w:lang w:val="en-US" w:eastAsia="zh-CN"/>
        </w:rPr>
        <w:t xml:space="preserve"> switching cases of UL Tx switching across 3 or 4 bands.</w:t>
      </w:r>
    </w:p>
    <w:p>
      <w:pPr>
        <w:overflowPunct w:val="0"/>
        <w:autoSpaceDE w:val="0"/>
        <w:autoSpaceDN w:val="0"/>
        <w:adjustRightInd w:val="0"/>
        <w:jc w:val="both"/>
        <w:textAlignment w:val="baseline"/>
        <w:rPr>
          <w:rFonts w:cs="Times"/>
          <w:b/>
          <w:szCs w:val="22"/>
        </w:rPr>
      </w:pPr>
      <w:r>
        <w:rPr>
          <w:b/>
          <w:lang w:val="en-US" w:eastAsia="zh-CN"/>
        </w:rPr>
        <w:t xml:space="preserve">Proposal 1. For Rel-18 UL Tx switching, </w:t>
      </w:r>
      <w:r>
        <w:rPr>
          <w:rFonts w:hint="eastAsia" w:cs="Times"/>
          <w:b/>
          <w:szCs w:val="22"/>
        </w:rPr>
        <w:t>switching period location is configured per band pair, and the priority list of bands is also configured</w:t>
      </w:r>
    </w:p>
    <w:p>
      <w:pPr>
        <w:numPr>
          <w:ilvl w:val="0"/>
          <w:numId w:val="7"/>
        </w:numPr>
        <w:ind w:left="563" w:leftChars="100" w:hanging="363"/>
        <w:contextualSpacing/>
        <w:jc w:val="both"/>
        <w:textAlignment w:val="baseline"/>
        <w:rPr>
          <w:rFonts w:cs="Times"/>
          <w:b/>
          <w:szCs w:val="22"/>
        </w:rPr>
      </w:pPr>
      <w:r>
        <w:rPr>
          <w:rFonts w:hint="eastAsia" w:cs="Times"/>
          <w:b/>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r>
        <w:rPr>
          <w:rFonts w:cs="Times"/>
          <w:b/>
          <w:szCs w:val="22"/>
          <w:lang w:val="en-US"/>
        </w:rPr>
        <w:t>.</w:t>
      </w:r>
    </w:p>
    <w:p>
      <w:pPr>
        <w:pStyle w:val="3"/>
        <w:ind w:left="0" w:firstLine="0"/>
        <w:jc w:val="both"/>
        <w:rPr>
          <w:bCs w:val="0"/>
          <w:sz w:val="22"/>
          <w:szCs w:val="22"/>
          <w:u w:val="single"/>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Pr>
          <w:rFonts w:ascii="Times New Roman" w:hAnsi="Times New Roman"/>
          <w:lang w:val="en-US" w:eastAsia="zh-CN"/>
        </w:rPr>
        <w:t>Restriction on two UL Tx switching</w:t>
      </w:r>
    </w:p>
    <w:p>
      <w:pPr>
        <w:jc w:val="both"/>
        <w:rPr>
          <w:lang w:val="en-US" w:eastAsia="zh-CN"/>
        </w:rPr>
      </w:pPr>
      <w:r>
        <w:rPr>
          <w:lang w:val="en-US" w:eastAsia="zh-CN"/>
        </w:rPr>
        <w:t xml:space="preserve">It is agreed that the restriction of no </w:t>
      </w:r>
      <w:r>
        <w:rPr>
          <w:szCs w:val="21"/>
          <w:lang w:val="en-AU" w:eastAsia="en-US"/>
        </w:rPr>
        <w:t>more than one uplink switching within a reference slot</w:t>
      </w:r>
      <w:r>
        <w:rPr>
          <w:szCs w:val="21"/>
          <w:lang w:val="en-US" w:eastAsia="en-US"/>
        </w:rPr>
        <w:t xml:space="preserve"> should be maintained in Rel-18 UL Tx switching, and a separation time may be needed when two UL Tx switching results in </w:t>
      </w:r>
      <w:r>
        <w:rPr>
          <w:rFonts w:eastAsia="MS Mincho"/>
          <w:lang w:val="en-AU"/>
        </w:rPr>
        <w:t>UL transmissions on more than 2 bands within any two consecutive reference slots</w:t>
      </w:r>
      <w:r>
        <w:rPr>
          <w:rFonts w:eastAsia="MS Mincho"/>
          <w:lang w:val="en-US"/>
        </w:rPr>
        <w:t>. The</w:t>
      </w:r>
      <w:r>
        <w:rPr>
          <w:lang w:val="en-US" w:eastAsia="zh-CN"/>
        </w:rPr>
        <w:t xml:space="preserve"> conclusion achieved in last RAN1 meeting is listed as below.</w:t>
      </w:r>
    </w:p>
    <w:tbl>
      <w:tblPr>
        <w:tblStyle w:val="50"/>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overflowPunct w:val="0"/>
              <w:autoSpaceDE w:val="0"/>
              <w:autoSpaceDN w:val="0"/>
              <w:adjustRightInd w:val="0"/>
              <w:textAlignment w:val="baseline"/>
              <w:rPr>
                <w:rFonts w:cs="Times"/>
                <w:b/>
                <w:bCs/>
                <w:highlight w:val="green"/>
                <w:lang w:eastAsia="zh-CN"/>
              </w:rPr>
            </w:pPr>
            <w:r>
              <w:rPr>
                <w:rFonts w:cs="Times"/>
                <w:b/>
                <w:bCs/>
                <w:highlight w:val="green"/>
                <w:lang w:eastAsia="zh-CN"/>
              </w:rPr>
              <w:t>Agreement</w:t>
            </w:r>
          </w:p>
          <w:p>
            <w:pPr>
              <w:overflowPunct w:val="0"/>
              <w:autoSpaceDE w:val="0"/>
              <w:autoSpaceDN w:val="0"/>
              <w:adjustRightInd w:val="0"/>
              <w:spacing w:after="120"/>
              <w:jc w:val="both"/>
              <w:textAlignment w:val="baseline"/>
              <w:rPr>
                <w:rFonts w:ascii="Calibri" w:hAnsi="Calibri" w:cs="Calibri"/>
                <w:lang w:eastAsia="zh-CN"/>
              </w:rPr>
            </w:pPr>
            <w:r>
              <w:rPr>
                <w:lang w:val="en-US" w:eastAsia="zh-CN"/>
              </w:rPr>
              <w:t>Following restrictions are applied for Rel-18 UL Tx switching across 3 or 4 bands.</w:t>
            </w:r>
          </w:p>
          <w:p>
            <w:pPr>
              <w:numPr>
                <w:ilvl w:val="0"/>
                <w:numId w:val="8"/>
              </w:numPr>
              <w:tabs>
                <w:tab w:val="left" w:pos="426"/>
                <w:tab w:val="left" w:pos="484"/>
                <w:tab w:val="left" w:pos="851"/>
                <w:tab w:val="left" w:pos="1440"/>
                <w:tab w:val="center" w:pos="4153"/>
                <w:tab w:val="right" w:pos="8306"/>
              </w:tabs>
              <w:overflowPunct/>
              <w:autoSpaceDE/>
              <w:autoSpaceDN/>
              <w:adjustRightInd/>
              <w:snapToGrid w:val="0"/>
              <w:spacing w:after="120"/>
              <w:ind w:left="422" w:leftChars="71" w:hanging="280" w:hangingChars="140"/>
              <w:textAlignment w:val="auto"/>
              <w:rPr>
                <w:szCs w:val="21"/>
                <w:lang w:val="en-AU" w:eastAsia="en-US"/>
              </w:rPr>
            </w:pPr>
            <w:r>
              <w:rPr>
                <w:szCs w:val="21"/>
                <w:lang w:val="en-AU" w:eastAsia="en-US"/>
              </w:rPr>
              <w:t>The UE does not expect to perform more than one uplink switching within a reference slot based on µUL = max(µUL, 1, µUL, 2, µUL, 3) in case of 3 bands, µUL = max(µUL, 1, µUL, 2, µUL, 3, µUL, 4) in case of 4 bands, where µUL, 1, µUL, 2, µUL, 3, µUL, 4 are SCSs of active UL bandwidth parts of the bands in the band combination</w:t>
            </w:r>
          </w:p>
          <w:p>
            <w:pPr>
              <w:pStyle w:val="135"/>
              <w:numPr>
                <w:ilvl w:val="1"/>
                <w:numId w:val="9"/>
              </w:numPr>
              <w:overflowPunct w:val="0"/>
              <w:autoSpaceDE w:val="0"/>
              <w:autoSpaceDN w:val="0"/>
              <w:adjustRightInd w:val="0"/>
              <w:spacing w:after="120" w:afterLines="50"/>
              <w:ind w:leftChars="0"/>
              <w:jc w:val="both"/>
              <w:textAlignment w:val="baseline"/>
              <w:rPr>
                <w:rFonts w:eastAsia="MS Mincho"/>
                <w:szCs w:val="20"/>
                <w:lang w:val="en-AU"/>
              </w:rPr>
            </w:pPr>
            <w:r>
              <w:rPr>
                <w:rFonts w:eastAsia="MS Mincho"/>
                <w:szCs w:val="20"/>
                <w:lang w:val="en-AU"/>
              </w:rPr>
              <w:t>If there are two consecutive intra-band carriers in one band, µ</w:t>
            </w:r>
            <w:r>
              <w:rPr>
                <w:rFonts w:eastAsia="MS Mincho"/>
                <w:szCs w:val="20"/>
                <w:vertAlign w:val="subscript"/>
                <w:lang w:val="en-AU"/>
              </w:rPr>
              <w:t>UL, 1</w:t>
            </w:r>
            <w:r>
              <w:rPr>
                <w:rFonts w:eastAsia="MS Mincho"/>
                <w:szCs w:val="20"/>
                <w:lang w:val="en-AU"/>
              </w:rPr>
              <w:t> = max(µ</w:t>
            </w:r>
            <w:r>
              <w:rPr>
                <w:rFonts w:eastAsia="MS Mincho"/>
                <w:szCs w:val="20"/>
                <w:vertAlign w:val="subscript"/>
                <w:lang w:val="en-AU"/>
              </w:rPr>
              <w:t>UL, 1-1</w:t>
            </w:r>
            <w:r>
              <w:rPr>
                <w:rFonts w:eastAsia="MS Mincho"/>
                <w:szCs w:val="20"/>
                <w:lang w:val="en-AU"/>
              </w:rPr>
              <w:t>, µ</w:t>
            </w:r>
            <w:r>
              <w:rPr>
                <w:rFonts w:eastAsia="MS Mincho"/>
                <w:szCs w:val="20"/>
                <w:vertAlign w:val="subscript"/>
                <w:lang w:val="en-AU"/>
              </w:rPr>
              <w:t>UL, 1-2</w:t>
            </w:r>
            <w:r>
              <w:rPr>
                <w:rFonts w:eastAsia="MS Mincho"/>
                <w:szCs w:val="20"/>
                <w:lang w:val="en-AU"/>
              </w:rPr>
              <w:t>), where µ</w:t>
            </w:r>
            <w:r>
              <w:rPr>
                <w:rFonts w:eastAsia="MS Mincho"/>
                <w:szCs w:val="20"/>
                <w:vertAlign w:val="subscript"/>
                <w:lang w:val="en-AU"/>
              </w:rPr>
              <w:t xml:space="preserve">UL, 1-1 </w:t>
            </w:r>
            <w:r>
              <w:rPr>
                <w:rFonts w:eastAsia="MS Mincho"/>
                <w:szCs w:val="20"/>
                <w:lang w:val="en-AU"/>
              </w:rPr>
              <w:t>and µ</w:t>
            </w:r>
            <w:r>
              <w:rPr>
                <w:rFonts w:eastAsia="MS Mincho"/>
                <w:szCs w:val="20"/>
                <w:vertAlign w:val="subscript"/>
                <w:lang w:val="en-AU"/>
              </w:rPr>
              <w:t>UL, 1-2</w:t>
            </w:r>
            <w:r>
              <w:rPr>
                <w:rFonts w:eastAsia="MS Mincho"/>
                <w:szCs w:val="20"/>
                <w:lang w:val="en-AU"/>
              </w:rPr>
              <w:t> are SCSs of active UL bandwidth parts of the carriers in the band</w:t>
            </w:r>
          </w:p>
          <w:p>
            <w:pPr>
              <w:numPr>
                <w:ilvl w:val="0"/>
                <w:numId w:val="8"/>
              </w:numPr>
              <w:tabs>
                <w:tab w:val="left" w:pos="426"/>
                <w:tab w:val="left" w:pos="484"/>
                <w:tab w:val="left" w:pos="851"/>
                <w:tab w:val="left" w:pos="1440"/>
                <w:tab w:val="center" w:pos="4153"/>
                <w:tab w:val="right" w:pos="8306"/>
              </w:tabs>
              <w:overflowPunct/>
              <w:autoSpaceDE/>
              <w:autoSpaceDN/>
              <w:adjustRightInd/>
              <w:snapToGrid w:val="0"/>
              <w:spacing w:after="120"/>
              <w:ind w:left="422" w:leftChars="71" w:hanging="280" w:hangingChars="140"/>
              <w:textAlignment w:val="auto"/>
              <w:rPr>
                <w:szCs w:val="21"/>
                <w:lang w:val="en-AU" w:eastAsia="en-US"/>
              </w:rPr>
            </w:pPr>
            <w:r>
              <w:rPr>
                <w:szCs w:val="21"/>
                <w:highlight w:val="yellow"/>
                <w:lang w:val="en-AU" w:eastAsia="en-US"/>
              </w:rPr>
              <w:t>(working assumption)</w:t>
            </w:r>
            <w:r>
              <w:rPr>
                <w:szCs w:val="21"/>
                <w:lang w:val="en-AU" w:eastAsia="en-US"/>
              </w:rPr>
              <w:t xml:space="preserve"> If two uplink switching are triggered and result in UL transmissions on more than 2 bands within any two consecutive reference slots, then the time duration between the end of all transmission(s) prior to the first uplink switching and the start of all transmission(s) after the second uplink switching within the two reference slots is expected to be not less than a minimum separation time </w:t>
            </w:r>
          </w:p>
          <w:p>
            <w:pPr>
              <w:pStyle w:val="135"/>
              <w:numPr>
                <w:ilvl w:val="1"/>
                <w:numId w:val="9"/>
              </w:numPr>
              <w:overflowPunct w:val="0"/>
              <w:autoSpaceDE w:val="0"/>
              <w:autoSpaceDN w:val="0"/>
              <w:adjustRightInd w:val="0"/>
              <w:spacing w:after="120" w:afterLines="50"/>
              <w:ind w:leftChars="0"/>
              <w:jc w:val="both"/>
              <w:textAlignment w:val="baseline"/>
              <w:rPr>
                <w:rFonts w:eastAsia="MS Mincho"/>
                <w:szCs w:val="20"/>
                <w:lang w:val="en-AU"/>
              </w:rPr>
            </w:pPr>
            <w:r>
              <w:rPr>
                <w:rFonts w:eastAsia="MS Mincho"/>
                <w:szCs w:val="20"/>
                <w:lang w:val="en-AU"/>
              </w:rPr>
              <w:t xml:space="preserve">The minimum separation time is a sum of X us and the switching gap required for </w:t>
            </w:r>
            <w:r>
              <w:rPr>
                <w:szCs w:val="20"/>
              </w:rPr>
              <w:t>the second uplink switching</w:t>
            </w:r>
            <w:r>
              <w:rPr>
                <w:rFonts w:eastAsia="MS Mincho"/>
                <w:szCs w:val="20"/>
                <w:lang w:val="en-AU"/>
              </w:rPr>
              <w:t>.</w:t>
            </w:r>
          </w:p>
          <w:p>
            <w:pPr>
              <w:pStyle w:val="135"/>
              <w:numPr>
                <w:ilvl w:val="1"/>
                <w:numId w:val="9"/>
              </w:numPr>
              <w:overflowPunct w:val="0"/>
              <w:autoSpaceDE w:val="0"/>
              <w:autoSpaceDN w:val="0"/>
              <w:adjustRightInd w:val="0"/>
              <w:spacing w:after="120" w:afterLines="50"/>
              <w:ind w:leftChars="0"/>
              <w:jc w:val="both"/>
              <w:textAlignment w:val="baseline"/>
              <w:rPr>
                <w:rFonts w:eastAsia="MS Mincho"/>
                <w:bCs/>
                <w:iCs/>
                <w:lang w:eastAsia="en-US"/>
              </w:rPr>
            </w:pPr>
            <w:r>
              <w:rPr>
                <w:rFonts w:eastAsia="MS Mincho"/>
                <w:szCs w:val="20"/>
                <w:lang w:val="en-AU"/>
              </w:rPr>
              <w:t>X us is subject to UE capability with a value set of {0us, 500us}</w:t>
            </w:r>
          </w:p>
        </w:tc>
      </w:tr>
    </w:tbl>
    <w:p>
      <w:pPr>
        <w:jc w:val="both"/>
        <w:rPr>
          <w:lang w:val="en-US" w:eastAsia="zh-CN"/>
        </w:rPr>
      </w:pPr>
      <w:r>
        <w:rPr>
          <w:lang w:val="en-US" w:eastAsia="zh-CN"/>
        </w:rPr>
        <w:t>Besides, the impact from switching of one Tx chain on the other Tx chain and the ambiguity issue on how to determine the switching period length when two Tx chains are switched between two different band pairs has been discussed in RAN4, and the conclusion provided in RAN4 LS are shown as the following [3].</w:t>
      </w:r>
    </w:p>
    <w:tbl>
      <w:tblPr>
        <w:tblStyle w:val="50"/>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overflowPunct w:val="0"/>
              <w:autoSpaceDE w:val="0"/>
              <w:autoSpaceDN w:val="0"/>
              <w:adjustRightInd w:val="0"/>
              <w:spacing w:after="120" w:afterLines="50"/>
              <w:textAlignment w:val="baseline"/>
            </w:pPr>
            <w:r>
              <w:rPr>
                <w:b/>
                <w:bCs/>
                <w:iCs/>
                <w:lang w:val="en-US" w:eastAsia="zh-CN"/>
              </w:rPr>
              <w:t>Issue 1: Impact from switching of one Tx chain on the other Tx chain</w:t>
            </w:r>
          </w:p>
          <w:p>
            <w:pPr>
              <w:tabs>
                <w:tab w:val="center" w:pos="4153"/>
                <w:tab w:val="right" w:pos="8306"/>
              </w:tabs>
              <w:overflowPunct/>
              <w:autoSpaceDE/>
              <w:autoSpaceDN/>
              <w:adjustRightInd/>
              <w:snapToGrid w:val="0"/>
              <w:spacing w:after="120"/>
              <w:textAlignment w:val="auto"/>
              <w:rPr>
                <w:bCs/>
                <w:iCs/>
                <w:lang w:val="en-US" w:eastAsia="zh-CN"/>
              </w:rPr>
            </w:pPr>
            <w:r>
              <w:rPr>
                <w:bCs/>
                <w:iCs/>
                <w:lang w:val="en-US" w:eastAsia="zh-CN"/>
              </w:rPr>
              <w:t>When one of the two Tx chains is triggered to switch from one band (named “band A”) to another band (name “band B”), the other Tx chain is maintained on a different band (named “band C”) and the number of Tx chain on band C is unchanged due to the switching:</w:t>
            </w:r>
          </w:p>
          <w:p>
            <w:pPr>
              <w:numPr>
                <w:ilvl w:val="0"/>
                <w:numId w:val="8"/>
              </w:numPr>
              <w:tabs>
                <w:tab w:val="left" w:pos="426"/>
                <w:tab w:val="left" w:pos="1440"/>
                <w:tab w:val="center" w:pos="4153"/>
                <w:tab w:val="right" w:pos="8306"/>
              </w:tabs>
              <w:overflowPunct/>
              <w:autoSpaceDE/>
              <w:autoSpaceDN/>
              <w:adjustRightInd/>
              <w:snapToGrid w:val="0"/>
              <w:spacing w:after="120"/>
              <w:ind w:left="422" w:leftChars="71" w:hanging="280" w:hangingChars="140"/>
              <w:textAlignment w:val="auto"/>
              <w:rPr>
                <w:b/>
                <w:bCs/>
                <w:iCs/>
                <w:lang w:val="en-US" w:eastAsia="zh-CN"/>
              </w:rPr>
            </w:pPr>
            <w:r>
              <w:rPr>
                <w:bCs/>
                <w:iCs/>
                <w:lang w:val="en-US" w:eastAsia="zh-CN"/>
              </w:rPr>
              <w:t>In addition to the baseline UE assumption agreed in RAN4 #104e, RAN4 has agreed to introduce optional UE capability to allow UL transmission on the band with the number of Tx chain unchanged (i.e., one Tx chain is maintained on the band) during UL switching.</w:t>
            </w:r>
          </w:p>
          <w:p>
            <w:pPr>
              <w:overflowPunct w:val="0"/>
              <w:autoSpaceDE w:val="0"/>
              <w:autoSpaceDN w:val="0"/>
              <w:adjustRightInd w:val="0"/>
              <w:spacing w:after="120" w:afterLines="50"/>
              <w:textAlignment w:val="baseline"/>
              <w:rPr>
                <w:b/>
                <w:bCs/>
                <w:iCs/>
                <w:lang w:val="en-US" w:eastAsia="zh-CN"/>
              </w:rPr>
            </w:pPr>
            <w:r>
              <w:rPr>
                <w:b/>
                <w:bCs/>
                <w:iCs/>
                <w:lang w:val="en-US" w:eastAsia="zh-CN"/>
              </w:rPr>
              <w:t>Issue 2: Ambiguity issue when two Tx chains are switched between two different band pairs</w:t>
            </w:r>
          </w:p>
          <w:p>
            <w:pPr>
              <w:tabs>
                <w:tab w:val="center" w:pos="4153"/>
                <w:tab w:val="right" w:pos="8306"/>
              </w:tabs>
              <w:overflowPunct/>
              <w:autoSpaceDE/>
              <w:autoSpaceDN/>
              <w:adjustRightInd/>
              <w:snapToGrid w:val="0"/>
              <w:spacing w:after="120"/>
              <w:textAlignment w:val="auto"/>
              <w:rPr>
                <w:bCs/>
                <w:iCs/>
                <w:lang w:val="en-US" w:eastAsia="zh-CN"/>
              </w:rPr>
            </w:pPr>
            <w:r>
              <w:rPr>
                <w:bCs/>
                <w:iCs/>
                <w:lang w:val="en-US" w:eastAsia="zh-CN"/>
              </w:rPr>
              <w:t>For Rel-18 UL Tx switching among 4 bands, when switching from 1T+1T on band A and B to 1T+1T on band C and D is performed, and it is not clear whether UE performs Tx switching {from band A to C + B to D} or {from band A to D + B to C}, RAN4 agreed that:</w:t>
            </w:r>
          </w:p>
          <w:p>
            <w:pPr>
              <w:numPr>
                <w:ilvl w:val="0"/>
                <w:numId w:val="8"/>
              </w:numPr>
              <w:tabs>
                <w:tab w:val="left" w:pos="426"/>
                <w:tab w:val="left" w:pos="484"/>
                <w:tab w:val="left" w:pos="851"/>
                <w:tab w:val="left" w:pos="1440"/>
                <w:tab w:val="center" w:pos="4153"/>
                <w:tab w:val="right" w:pos="8306"/>
              </w:tabs>
              <w:overflowPunct/>
              <w:autoSpaceDE/>
              <w:autoSpaceDN/>
              <w:adjustRightInd/>
              <w:snapToGrid w:val="0"/>
              <w:spacing w:after="120"/>
              <w:ind w:left="422" w:leftChars="71" w:hanging="280" w:hangingChars="140"/>
              <w:textAlignment w:val="auto"/>
              <w:rPr>
                <w:szCs w:val="21"/>
                <w:lang w:eastAsia="en-US"/>
              </w:rPr>
            </w:pPr>
            <w:r>
              <w:rPr>
                <w:szCs w:val="21"/>
                <w:lang w:eastAsia="en-US"/>
              </w:rPr>
              <w:t xml:space="preserve">As baseline UE assumption, </w:t>
            </w:r>
            <w:r>
              <w:rPr>
                <w:szCs w:val="21"/>
                <w:lang w:eastAsia="zh-CN"/>
              </w:rPr>
              <w:t>n</w:t>
            </w:r>
            <w:r>
              <w:rPr>
                <w:szCs w:val="21"/>
                <w:lang w:eastAsia="en-US"/>
              </w:rPr>
              <w:t xml:space="preserve">o need to resolve the ambiguity issue of the switching pattern for </w:t>
            </w:r>
            <w:r>
              <w:rPr>
                <w:rFonts w:eastAsia="MS Gothic"/>
                <w:szCs w:val="21"/>
                <w:lang w:val="en-US" w:eastAsia="zh-CN"/>
              </w:rPr>
              <w:t>each</w:t>
            </w:r>
            <w:r>
              <w:rPr>
                <w:szCs w:val="21"/>
                <w:lang w:eastAsia="en-US"/>
              </w:rPr>
              <w:t xml:space="preserve"> Tx chain and </w:t>
            </w:r>
            <w:r>
              <w:rPr>
                <w:bCs/>
                <w:iCs/>
                <w:lang w:val="en-US" w:eastAsia="zh-CN"/>
              </w:rPr>
              <w:t>determine</w:t>
            </w:r>
            <w:r>
              <w:rPr>
                <w:szCs w:val="21"/>
                <w:lang w:eastAsia="en-US"/>
              </w:rPr>
              <w:t xml:space="preserve"> the switching gap based on the worst case</w:t>
            </w:r>
            <w:r>
              <w:rPr>
                <w:szCs w:val="21"/>
                <w:lang w:eastAsia="zh-CN"/>
              </w:rPr>
              <w:t xml:space="preserve"> by default</w:t>
            </w:r>
            <w:r>
              <w:rPr>
                <w:szCs w:val="21"/>
                <w:lang w:eastAsia="en-US"/>
              </w:rPr>
              <w:t xml:space="preserve">, i.e., neither of the two Tx chains is expected to be used for transmission during the maximum of the four </w:t>
            </w:r>
            <w:r>
              <w:rPr>
                <w:bCs/>
                <w:szCs w:val="21"/>
                <w:lang w:eastAsia="en-US"/>
              </w:rPr>
              <w:t>switching periods, i.e., max {T</w:t>
            </w:r>
            <w:r>
              <w:rPr>
                <w:bCs/>
                <w:szCs w:val="21"/>
                <w:vertAlign w:val="subscript"/>
                <w:lang w:eastAsia="en-US"/>
              </w:rPr>
              <w:t>switch_A-C</w:t>
            </w:r>
            <w:r>
              <w:rPr>
                <w:bCs/>
                <w:szCs w:val="21"/>
                <w:lang w:eastAsia="en-US"/>
              </w:rPr>
              <w:t>, T</w:t>
            </w:r>
            <w:r>
              <w:rPr>
                <w:bCs/>
                <w:szCs w:val="21"/>
                <w:vertAlign w:val="subscript"/>
                <w:lang w:eastAsia="en-US"/>
              </w:rPr>
              <w:t>switch_B-D</w:t>
            </w:r>
            <w:r>
              <w:rPr>
                <w:bCs/>
                <w:szCs w:val="21"/>
                <w:lang w:eastAsia="en-US"/>
              </w:rPr>
              <w:t>, T</w:t>
            </w:r>
            <w:r>
              <w:rPr>
                <w:bCs/>
                <w:szCs w:val="21"/>
                <w:vertAlign w:val="subscript"/>
                <w:lang w:eastAsia="en-US"/>
              </w:rPr>
              <w:t>switch_A-D</w:t>
            </w:r>
            <w:r>
              <w:rPr>
                <w:bCs/>
                <w:szCs w:val="21"/>
                <w:lang w:eastAsia="en-US"/>
              </w:rPr>
              <w:t>, T</w:t>
            </w:r>
            <w:r>
              <w:rPr>
                <w:bCs/>
                <w:szCs w:val="21"/>
                <w:vertAlign w:val="subscript"/>
                <w:lang w:eastAsia="en-US"/>
              </w:rPr>
              <w:t>switch_B-C</w:t>
            </w:r>
            <w:r>
              <w:rPr>
                <w:bCs/>
                <w:szCs w:val="21"/>
                <w:lang w:eastAsia="en-US"/>
              </w:rPr>
              <w:t>}.</w:t>
            </w:r>
          </w:p>
          <w:p>
            <w:pPr>
              <w:tabs>
                <w:tab w:val="left" w:pos="484"/>
                <w:tab w:val="left" w:pos="709"/>
                <w:tab w:val="left" w:pos="851"/>
                <w:tab w:val="left" w:pos="1440"/>
                <w:tab w:val="center" w:pos="4153"/>
                <w:tab w:val="right" w:pos="8306"/>
              </w:tabs>
              <w:overflowPunct/>
              <w:autoSpaceDE/>
              <w:autoSpaceDN/>
              <w:adjustRightInd/>
              <w:snapToGrid w:val="0"/>
              <w:spacing w:after="120"/>
              <w:ind w:left="422"/>
              <w:textAlignment w:val="auto"/>
              <w:rPr>
                <w:rFonts w:eastAsia="MS Mincho"/>
                <w:bCs/>
                <w:iCs/>
                <w:lang w:eastAsia="en-US"/>
              </w:rPr>
            </w:pPr>
            <w:r>
              <w:rPr>
                <w:szCs w:val="21"/>
                <w:lang w:eastAsia="zh-CN"/>
              </w:rPr>
              <w:t>Note</w:t>
            </w:r>
            <w:r>
              <w:rPr>
                <w:szCs w:val="21"/>
                <w:lang w:eastAsia="en-US"/>
              </w:rPr>
              <w:t xml:space="preserve">: </w:t>
            </w:r>
            <w:r>
              <w:rPr>
                <w:bCs/>
                <w:szCs w:val="21"/>
                <w:lang w:eastAsia="en-US"/>
              </w:rPr>
              <w:t>T</w:t>
            </w:r>
            <w:r>
              <w:rPr>
                <w:bCs/>
                <w:szCs w:val="21"/>
                <w:vertAlign w:val="subscript"/>
                <w:lang w:eastAsia="en-US"/>
              </w:rPr>
              <w:t>switch_A-C</w:t>
            </w:r>
            <w:r>
              <w:rPr>
                <w:bCs/>
                <w:szCs w:val="21"/>
                <w:lang w:eastAsia="en-US"/>
              </w:rPr>
              <w:t>, T</w:t>
            </w:r>
            <w:r>
              <w:rPr>
                <w:bCs/>
                <w:szCs w:val="21"/>
                <w:vertAlign w:val="subscript"/>
                <w:lang w:eastAsia="en-US"/>
              </w:rPr>
              <w:t>switch_B-D</w:t>
            </w:r>
            <w:r>
              <w:rPr>
                <w:bCs/>
                <w:szCs w:val="21"/>
                <w:lang w:eastAsia="en-US"/>
              </w:rPr>
              <w:t>, T</w:t>
            </w:r>
            <w:r>
              <w:rPr>
                <w:bCs/>
                <w:szCs w:val="21"/>
                <w:vertAlign w:val="subscript"/>
                <w:lang w:eastAsia="en-US"/>
              </w:rPr>
              <w:t>switch_A-D</w:t>
            </w:r>
            <w:r>
              <w:rPr>
                <w:bCs/>
                <w:szCs w:val="21"/>
                <w:lang w:eastAsia="en-US"/>
              </w:rPr>
              <w:t>, T</w:t>
            </w:r>
            <w:r>
              <w:rPr>
                <w:bCs/>
                <w:szCs w:val="21"/>
                <w:vertAlign w:val="subscript"/>
                <w:lang w:eastAsia="en-US"/>
              </w:rPr>
              <w:t xml:space="preserve">switch_B-C </w:t>
            </w:r>
            <w:r>
              <w:rPr>
                <w:bCs/>
                <w:szCs w:val="21"/>
                <w:lang w:eastAsia="zh-CN"/>
              </w:rPr>
              <w:t>are</w:t>
            </w:r>
            <w:r>
              <w:rPr>
                <w:bCs/>
                <w:szCs w:val="21"/>
                <w:lang w:eastAsia="en-US"/>
              </w:rPr>
              <w:t xml:space="preserve"> the switching period</w:t>
            </w:r>
            <w:r>
              <w:rPr>
                <w:bCs/>
                <w:szCs w:val="21"/>
                <w:lang w:eastAsia="zh-CN"/>
              </w:rPr>
              <w:t>s</w:t>
            </w:r>
            <w:r>
              <w:rPr>
                <w:bCs/>
                <w:szCs w:val="21"/>
                <w:lang w:eastAsia="en-US"/>
              </w:rPr>
              <w:t xml:space="preserve"> reported by the UE for band pair A&amp;C, B&amp;D,A&amp;D and B&amp;C, respectively.</w:t>
            </w:r>
          </w:p>
        </w:tc>
      </w:tr>
    </w:tbl>
    <w:p>
      <w:pPr>
        <w:jc w:val="both"/>
        <w:rPr>
          <w:lang w:val="en-US" w:eastAsia="zh-CN"/>
        </w:rPr>
      </w:pPr>
      <w:r>
        <w:rPr>
          <w:lang w:val="en-US" w:eastAsia="zh-CN"/>
        </w:rPr>
        <w:t>There was some concern that the understanding of “one Tx switching” and “two Tx switching” and on which case to apply the RAN4 agreement should be clarified in the last RAN1 meeting. While from our perspective, if the starting time of the two transmissions after Tx switching are within a same slot, or the two UL transmissions are overlapped in time domain, the Tx switching should be performed as on Tx switching. Otherwise, if the two UL transmissions are completely non-overlapped, such as the gap between the two UL transmissions after switching is more than 1 slot, UE can perform two Tx switching for this case.</w:t>
      </w:r>
    </w:p>
    <w:p>
      <w:pPr>
        <w:jc w:val="both"/>
        <w:rPr>
          <w:rFonts w:eastAsiaTheme="minorEastAsia"/>
          <w:lang w:val="en-US" w:eastAsia="zh-CN"/>
        </w:rPr>
      </w:pPr>
      <w:r>
        <w:rPr>
          <w:rFonts w:eastAsiaTheme="minorEastAsia"/>
          <w:lang w:val="en-US" w:eastAsia="zh-CN"/>
        </w:rPr>
        <w:t>Considering RAN4 has agreed to introduce optional UE capability to allow UL transmission on the band with the number of Tx chain unchanged (i.e., one Tx chain is maintained on the band) during UL switching. If two Tx chains are switched between two different band pairs and</w:t>
      </w:r>
      <w:r>
        <w:rPr>
          <w:lang w:val="en-US" w:eastAsia="zh-CN"/>
        </w:rPr>
        <w:t xml:space="preserve"> the two uplink transmissions after Tx switching are completely non-overlapped in time domain, </w:t>
      </w:r>
      <w:r>
        <w:rPr>
          <w:rFonts w:eastAsiaTheme="minorEastAsia"/>
          <w:lang w:val="en-US" w:eastAsia="zh-CN"/>
        </w:rPr>
        <w:t xml:space="preserve">compared to use the maximum of the four switching periods as the length of uplink switching gap, defining the case as two UL Tx switching and the switching gap of each UL Tx switching is determined based on </w:t>
      </w:r>
      <w:r>
        <w:rPr>
          <w:rFonts w:eastAsia="MS Mincho"/>
          <w:lang w:val="en-US" w:eastAsia="zh-CN"/>
        </w:rPr>
        <w:t>separate switching period</w:t>
      </w:r>
      <w:r>
        <w:rPr>
          <w:rFonts w:eastAsiaTheme="minorEastAsia"/>
          <w:lang w:val="en-US" w:eastAsia="zh-CN"/>
        </w:rPr>
        <w:t xml:space="preserve"> of the band pair may reduce some UL interruption time for the victim band. </w:t>
      </w:r>
      <w:r>
        <w:rPr>
          <w:lang w:val="en-US" w:eastAsia="zh-CN"/>
        </w:rPr>
        <w:t xml:space="preserve">Thus, the conclusion of </w:t>
      </w:r>
      <w:r>
        <w:rPr>
          <w:bCs/>
          <w:iCs/>
          <w:lang w:val="en-US" w:eastAsia="zh-CN"/>
        </w:rPr>
        <w:t>determining</w:t>
      </w:r>
      <w:r>
        <w:rPr>
          <w:szCs w:val="21"/>
          <w:lang w:eastAsia="en-US"/>
        </w:rPr>
        <w:t xml:space="preserve"> the switching gap based on the</w:t>
      </w:r>
      <w:r>
        <w:rPr>
          <w:szCs w:val="21"/>
          <w:lang w:val="en-US" w:eastAsia="en-US"/>
        </w:rPr>
        <w:t xml:space="preserve"> maximum switching period is only applicable to the case of “one Tx switching”.</w:t>
      </w:r>
    </w:p>
    <w:p>
      <w:pPr>
        <w:jc w:val="both"/>
        <w:rPr>
          <w:rFonts w:eastAsia="MS Mincho"/>
          <w:lang w:val="en-US" w:eastAsia="zh-CN"/>
        </w:rPr>
      </w:pPr>
      <w:r>
        <w:rPr>
          <w:rFonts w:eastAsiaTheme="minorEastAsia"/>
          <w:lang w:val="en-US" w:eastAsia="zh-CN"/>
        </w:rPr>
        <w:t xml:space="preserve">For example, assuming switching from 1T+1T on band A and B to 1T+1T on band C and D is performed, if the UL transmission on band C and D after switching is overlapped in time domain, then the switching gap is determined by the maximum switching period, </w:t>
      </w:r>
      <w:r>
        <w:rPr>
          <w:rFonts w:eastAsiaTheme="minorEastAsia"/>
          <w:lang w:val="en-US" w:eastAsia="en-US"/>
        </w:rPr>
        <w:t xml:space="preserve">i.e., max {Tswitch_A-C, Tswitch_B-D, Tswitch_A-D, Tswitch_B-C}. If </w:t>
      </w:r>
      <w:r>
        <w:rPr>
          <w:rFonts w:eastAsiaTheme="minorEastAsia"/>
          <w:lang w:val="en-US" w:eastAsia="zh-CN"/>
        </w:rPr>
        <w:t>the UL transmission on band C and D are totally non-overlapped after switching, then two Tx switching can be performed by UE, and the switching gap can be determined based on the switching period configured for each Tx switching independently.</w:t>
      </w:r>
    </w:p>
    <w:p>
      <w:pPr>
        <w:jc w:val="both"/>
        <w:rPr>
          <w:rFonts w:eastAsia="MS Mincho"/>
          <w:b/>
          <w:szCs w:val="22"/>
          <w:lang w:val="en-US"/>
        </w:rPr>
      </w:pPr>
      <w:r>
        <w:rPr>
          <w:b/>
          <w:bCs/>
          <w:lang w:val="en-US" w:eastAsia="zh-CN"/>
        </w:rPr>
        <w:t>Proposal 2.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it is considered as one Tx switching if the two UL transmissions after switching are overlapped in time-domain, and the switching gap is determined based on the maximum of the switching periods. </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val="en-US"/>
        </w:rPr>
        <w:t xml:space="preserve">remaining issues on </w:t>
      </w:r>
      <w:r>
        <w:rPr>
          <w:rFonts w:hint="eastAsia"/>
        </w:rPr>
        <w:t xml:space="preserve">multi-carrier UL Tx switching </w:t>
      </w:r>
      <w:r>
        <w:rPr>
          <w:lang w:val="en-US"/>
        </w:rPr>
        <w:t>mechanism</w:t>
      </w:r>
      <w:r>
        <w:t xml:space="preserve"> </w:t>
      </w:r>
      <w:r>
        <w:rPr>
          <w:lang w:val="en-US"/>
        </w:rPr>
        <w:t xml:space="preserve">are </w:t>
      </w:r>
      <w:r>
        <w:t xml:space="preserve">discussed, </w:t>
      </w:r>
      <w:r>
        <w:rPr>
          <w:lang w:eastAsia="zh-CN"/>
        </w:rPr>
        <w:t>and the following</w:t>
      </w:r>
      <w:r>
        <w:rPr>
          <w:lang w:val="en-US" w:eastAsia="zh-CN"/>
        </w:rPr>
        <w:t xml:space="preserve"> </w:t>
      </w:r>
      <w:r>
        <w:rPr>
          <w:lang w:eastAsia="zh-CN"/>
        </w:rPr>
        <w:t>proposals are made.</w:t>
      </w:r>
    </w:p>
    <w:p>
      <w:pPr>
        <w:overflowPunct w:val="0"/>
        <w:autoSpaceDE w:val="0"/>
        <w:autoSpaceDN w:val="0"/>
        <w:adjustRightInd w:val="0"/>
        <w:jc w:val="both"/>
        <w:textAlignment w:val="baseline"/>
        <w:rPr>
          <w:rFonts w:cs="Times"/>
          <w:b/>
          <w:szCs w:val="22"/>
        </w:rPr>
      </w:pPr>
      <w:r>
        <w:rPr>
          <w:b/>
          <w:lang w:val="en-US" w:eastAsia="zh-CN"/>
        </w:rPr>
        <w:t xml:space="preserve">Proposal 1. For Rel-18 UL Tx switching, </w:t>
      </w:r>
      <w:r>
        <w:rPr>
          <w:rFonts w:hint="eastAsia" w:cs="Times"/>
          <w:b/>
          <w:szCs w:val="22"/>
        </w:rPr>
        <w:t>switching period location is configured per band pair, and the priority list of bands is also configured</w:t>
      </w:r>
    </w:p>
    <w:p>
      <w:pPr>
        <w:keepNext w:val="0"/>
        <w:keepLines w:val="0"/>
        <w:pageBreakBefore w:val="0"/>
        <w:widowControl/>
        <w:numPr>
          <w:ilvl w:val="0"/>
          <w:numId w:val="7"/>
        </w:numPr>
        <w:kinsoku/>
        <w:wordWrap/>
        <w:overflowPunct/>
        <w:topLinePunct w:val="0"/>
        <w:autoSpaceDE/>
        <w:autoSpaceDN/>
        <w:bidi w:val="0"/>
        <w:adjustRightInd/>
        <w:snapToGrid/>
        <w:ind w:left="563" w:leftChars="100" w:hanging="363"/>
        <w:contextualSpacing/>
        <w:jc w:val="both"/>
        <w:textAlignment w:val="baseline"/>
        <w:rPr>
          <w:rFonts w:cs="Times"/>
          <w:b/>
          <w:szCs w:val="22"/>
        </w:rPr>
      </w:pPr>
      <w:r>
        <w:rPr>
          <w:rFonts w:hint="eastAsia" w:cs="Times"/>
          <w:b/>
          <w:szCs w:val="22"/>
        </w:rPr>
        <w:t>If there are multiple bands configured with switching period location as TRUE in the bands involved in a switching, the switching period location is determined to the band with lowest priority among bands c</w:t>
      </w:r>
      <w:bookmarkStart w:id="5" w:name="_GoBack"/>
      <w:bookmarkEnd w:id="5"/>
      <w:r>
        <w:rPr>
          <w:rFonts w:hint="eastAsia" w:cs="Times"/>
          <w:b/>
          <w:szCs w:val="22"/>
        </w:rPr>
        <w:t>onfigured with switching period location as TRUE</w:t>
      </w:r>
      <w:r>
        <w:rPr>
          <w:rFonts w:cs="Times"/>
          <w:b/>
          <w:szCs w:val="22"/>
          <w:lang w:val="en-US"/>
        </w:rPr>
        <w:t>.</w:t>
      </w:r>
    </w:p>
    <w:p>
      <w:pPr>
        <w:jc w:val="both"/>
        <w:rPr>
          <w:rFonts w:cs="Times"/>
          <w:b/>
          <w:szCs w:val="22"/>
          <w:lang w:val="en-US" w:eastAsia="zh-CN"/>
        </w:rPr>
      </w:pPr>
      <w:r>
        <w:rPr>
          <w:b/>
          <w:bCs/>
          <w:lang w:val="en-US" w:eastAsia="zh-CN"/>
        </w:rPr>
        <w:t>Proposal 2. F</w:t>
      </w:r>
      <w:r>
        <w:rPr>
          <w:rFonts w:eastAsia="MS Mincho"/>
          <w:b/>
          <w:szCs w:val="22"/>
          <w:lang w:val="en-US"/>
        </w:rPr>
        <w:t>or</w:t>
      </w:r>
      <w:r>
        <w:rPr>
          <w:rFonts w:eastAsia="MS Mincho"/>
          <w:b/>
          <w:szCs w:val="22"/>
        </w:rPr>
        <w:t xml:space="preserve"> Rel-18 UL Tx switching for 3 or 4 bands, when two Tx chains are switched between two different band pairs</w:t>
      </w:r>
      <w:r>
        <w:rPr>
          <w:rFonts w:eastAsia="MS Mincho"/>
          <w:b/>
          <w:szCs w:val="22"/>
          <w:lang w:val="en-US"/>
        </w:rPr>
        <w:t xml:space="preserve">, it is considered as one Tx switching if the two UL transmissions after switching are overlapped in time-domain, and the switching gap is determined based on the maximum of the switching periods. </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0"/>
        </w:numPr>
        <w:ind w:left="0" w:leftChars="0" w:firstLine="0"/>
        <w:rPr>
          <w:rFonts w:ascii="Times New Roman" w:hAnsi="Times New Roman"/>
          <w:lang w:eastAsia="zh-CN"/>
        </w:rPr>
      </w:pPr>
      <w:r>
        <w:rPr>
          <w:rFonts w:ascii="Times New Roman" w:hAnsi="Times New Roman"/>
          <w:lang w:val="en-US" w:eastAsia="zh-CN"/>
        </w:rPr>
        <w:t xml:space="preserve"> Chairman's Notes RAN1#111. </w:t>
      </w:r>
    </w:p>
    <w:p>
      <w:pPr>
        <w:pStyle w:val="135"/>
        <w:numPr>
          <w:ilvl w:val="0"/>
          <w:numId w:val="10"/>
        </w:numPr>
        <w:ind w:leftChars="0"/>
        <w:jc w:val="both"/>
        <w:rPr>
          <w:rFonts w:ascii="Times New Roman" w:hAnsi="Times New Roman"/>
          <w:bCs/>
          <w:lang w:eastAsia="zh-CN"/>
        </w:rPr>
      </w:pPr>
      <w:r>
        <w:rPr>
          <w:rFonts w:hint="eastAsia"/>
          <w:bCs/>
          <w:lang w:eastAsia="zh-CN"/>
        </w:rPr>
        <w:t>R1-2</w:t>
      </w:r>
      <w:r>
        <w:rPr>
          <w:bCs/>
          <w:lang w:val="en-US" w:eastAsia="zh-CN"/>
        </w:rPr>
        <w:t>212894,</w:t>
      </w:r>
      <w:r>
        <w:rPr>
          <w:rFonts w:asciiTheme="minorEastAsia" w:hAnsiTheme="minorEastAsia" w:eastAsiaTheme="minorEastAsia"/>
          <w:bCs/>
          <w:lang w:eastAsia="zh-CN"/>
        </w:rPr>
        <w:t xml:space="preserve"> </w:t>
      </w:r>
      <w:r>
        <w:rPr>
          <w:rFonts w:hint="eastAsia"/>
          <w:bCs/>
          <w:lang w:eastAsia="zh-CN"/>
        </w:rPr>
        <w:t>Summary#4 of discussion on multi-carrier UL Tx switching scheme</w:t>
      </w:r>
      <w:r>
        <w:rPr>
          <w:bCs/>
          <w:lang w:val="en-US" w:eastAsia="zh-CN"/>
        </w:rPr>
        <w:t xml:space="preserve">, </w:t>
      </w:r>
      <w:r>
        <w:rPr>
          <w:lang w:eastAsia="zh-CN"/>
        </w:rPr>
        <w:t>RAN1#1</w:t>
      </w:r>
      <w:r>
        <w:rPr>
          <w:lang w:val="en-US" w:eastAsia="zh-CN"/>
        </w:rPr>
        <w:t>11</w:t>
      </w:r>
      <w:r>
        <w:rPr>
          <w:lang w:eastAsia="zh-CN"/>
        </w:rPr>
        <w:t xml:space="preserve">, </w:t>
      </w:r>
      <w:r>
        <w:rPr>
          <w:lang w:val="en-US" w:eastAsia="zh-CN"/>
        </w:rPr>
        <w:t>November</w:t>
      </w:r>
      <w:r>
        <w:rPr>
          <w:rFonts w:hint="eastAsia"/>
          <w:lang w:eastAsia="zh-CN"/>
        </w:rPr>
        <w:t xml:space="preserve">, </w:t>
      </w:r>
      <w:r>
        <w:rPr>
          <w:lang w:val="en-US" w:eastAsia="zh-CN"/>
        </w:rPr>
        <w:t>2</w:t>
      </w:r>
      <w:r>
        <w:rPr>
          <w:rFonts w:hint="eastAsia"/>
          <w:lang w:eastAsia="zh-CN"/>
        </w:rPr>
        <w:t>02</w:t>
      </w:r>
      <w:r>
        <w:rPr>
          <w:lang w:val="en-US" w:eastAsia="zh-CN"/>
        </w:rPr>
        <w:t>2</w:t>
      </w:r>
      <w:r>
        <w:rPr>
          <w:lang w:eastAsia="zh-CN"/>
        </w:rPr>
        <w:t>.</w:t>
      </w:r>
    </w:p>
    <w:p>
      <w:pPr>
        <w:pStyle w:val="135"/>
        <w:numPr>
          <w:ilvl w:val="0"/>
          <w:numId w:val="10"/>
        </w:numPr>
        <w:ind w:leftChars="0"/>
        <w:jc w:val="both"/>
        <w:rPr>
          <w:rFonts w:ascii="Times New Roman" w:hAnsi="Times New Roman"/>
          <w:bCs/>
          <w:lang w:eastAsia="zh-CN"/>
        </w:rPr>
      </w:pPr>
      <w:r>
        <w:rPr>
          <w:rFonts w:hint="eastAsia" w:ascii="Times New Roman" w:hAnsi="Times New Roman"/>
          <w:bCs/>
          <w:lang w:eastAsia="zh-CN"/>
        </w:rPr>
        <w:t>R1-2300029</w:t>
      </w:r>
      <w:r>
        <w:rPr>
          <w:rFonts w:ascii="Times New Roman" w:hAnsi="Times New Roman"/>
          <w:bCs/>
          <w:lang w:eastAsia="zh-CN"/>
        </w:rPr>
        <w:t xml:space="preserve">, </w:t>
      </w:r>
      <w:r>
        <w:rPr>
          <w:rFonts w:hint="eastAsia" w:ascii="Times New Roman" w:hAnsi="Times New Roman"/>
          <w:bCs/>
          <w:lang w:eastAsia="zh-CN"/>
        </w:rPr>
        <w:t>LS on Rel-18 Tx switching RAN4, China Telecom</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24883664"/>
    <w:multiLevelType w:val="multilevel"/>
    <w:tmpl w:val="2488366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6B7F3676"/>
    <w:multiLevelType w:val="multilevel"/>
    <w:tmpl w:val="6B7F36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9"/>
  </w:num>
  <w:num w:numId="3">
    <w:abstractNumId w:val="7"/>
  </w:num>
  <w:num w:numId="4">
    <w:abstractNumId w:val="3"/>
    <w:lvlOverride w:ilvl="0">
      <w:startOverride w:val="1"/>
    </w:lvlOverride>
  </w:num>
  <w:num w:numId="5">
    <w:abstractNumId w:val="6"/>
  </w:num>
  <w:num w:numId="6">
    <w:abstractNumId w:val="8"/>
  </w:num>
  <w:num w:numId="7">
    <w:abstractNumId w:val="1"/>
  </w:num>
  <w:num w:numId="8">
    <w:abstractNumId w:val="5"/>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128"/>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B3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5B2B"/>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3AB"/>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14C"/>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947"/>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1A3"/>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4C1C69"/>
    <w:rsid w:val="016D53A7"/>
    <w:rsid w:val="0193244A"/>
    <w:rsid w:val="01B66F8B"/>
    <w:rsid w:val="01F1424F"/>
    <w:rsid w:val="025137E6"/>
    <w:rsid w:val="02993D15"/>
    <w:rsid w:val="02AC6A55"/>
    <w:rsid w:val="02B42D75"/>
    <w:rsid w:val="02F92503"/>
    <w:rsid w:val="030A7CB2"/>
    <w:rsid w:val="036910BB"/>
    <w:rsid w:val="03D871CE"/>
    <w:rsid w:val="04481BBE"/>
    <w:rsid w:val="047979B4"/>
    <w:rsid w:val="05320653"/>
    <w:rsid w:val="05336FF3"/>
    <w:rsid w:val="057F7E85"/>
    <w:rsid w:val="058F0A3C"/>
    <w:rsid w:val="05F463A8"/>
    <w:rsid w:val="068B3030"/>
    <w:rsid w:val="07040B18"/>
    <w:rsid w:val="071A3B3E"/>
    <w:rsid w:val="07577B15"/>
    <w:rsid w:val="077120D4"/>
    <w:rsid w:val="07B37AF7"/>
    <w:rsid w:val="07F35ED3"/>
    <w:rsid w:val="0889423B"/>
    <w:rsid w:val="089E33D5"/>
    <w:rsid w:val="08AA75BC"/>
    <w:rsid w:val="09A10241"/>
    <w:rsid w:val="09AB54B5"/>
    <w:rsid w:val="09E56525"/>
    <w:rsid w:val="0B1960F2"/>
    <w:rsid w:val="0B26714A"/>
    <w:rsid w:val="0BDB79CD"/>
    <w:rsid w:val="0BEE5860"/>
    <w:rsid w:val="0D1D1EB7"/>
    <w:rsid w:val="0D623E41"/>
    <w:rsid w:val="0DA344C9"/>
    <w:rsid w:val="0DF7584B"/>
    <w:rsid w:val="0E3B73DA"/>
    <w:rsid w:val="0E4F5CAF"/>
    <w:rsid w:val="0E5B1CD4"/>
    <w:rsid w:val="0E607E88"/>
    <w:rsid w:val="0EA04340"/>
    <w:rsid w:val="0F344841"/>
    <w:rsid w:val="0F394598"/>
    <w:rsid w:val="0F6C43B1"/>
    <w:rsid w:val="0F9F71B5"/>
    <w:rsid w:val="0FE3233B"/>
    <w:rsid w:val="0FEB7AB3"/>
    <w:rsid w:val="100E4EFB"/>
    <w:rsid w:val="101146F4"/>
    <w:rsid w:val="10535C7B"/>
    <w:rsid w:val="10F201A2"/>
    <w:rsid w:val="113E33D4"/>
    <w:rsid w:val="11A431B8"/>
    <w:rsid w:val="11B3196F"/>
    <w:rsid w:val="11BD317A"/>
    <w:rsid w:val="11CD5EC8"/>
    <w:rsid w:val="121D7798"/>
    <w:rsid w:val="12D75FB4"/>
    <w:rsid w:val="13610782"/>
    <w:rsid w:val="14A021FF"/>
    <w:rsid w:val="15450379"/>
    <w:rsid w:val="15990722"/>
    <w:rsid w:val="15D224AE"/>
    <w:rsid w:val="166B727B"/>
    <w:rsid w:val="169C2E21"/>
    <w:rsid w:val="16A41F98"/>
    <w:rsid w:val="17275D8E"/>
    <w:rsid w:val="176508EF"/>
    <w:rsid w:val="1803649E"/>
    <w:rsid w:val="18D17950"/>
    <w:rsid w:val="19616F1D"/>
    <w:rsid w:val="19E566A3"/>
    <w:rsid w:val="1AC01118"/>
    <w:rsid w:val="1B374311"/>
    <w:rsid w:val="1B5F26DE"/>
    <w:rsid w:val="1BB364DA"/>
    <w:rsid w:val="1BC00699"/>
    <w:rsid w:val="1C461B22"/>
    <w:rsid w:val="1C506E51"/>
    <w:rsid w:val="1C6D67C0"/>
    <w:rsid w:val="1C957CF4"/>
    <w:rsid w:val="1C975328"/>
    <w:rsid w:val="1D3201A6"/>
    <w:rsid w:val="1DBC08B0"/>
    <w:rsid w:val="1DF239BE"/>
    <w:rsid w:val="1EAC2776"/>
    <w:rsid w:val="1F284C81"/>
    <w:rsid w:val="1F58712A"/>
    <w:rsid w:val="1F591E93"/>
    <w:rsid w:val="1F971785"/>
    <w:rsid w:val="1FD01CC5"/>
    <w:rsid w:val="1FD86C91"/>
    <w:rsid w:val="200D140F"/>
    <w:rsid w:val="20430ADF"/>
    <w:rsid w:val="20B427EC"/>
    <w:rsid w:val="2103272D"/>
    <w:rsid w:val="218856BA"/>
    <w:rsid w:val="21A10478"/>
    <w:rsid w:val="21D220F9"/>
    <w:rsid w:val="22FC2D05"/>
    <w:rsid w:val="232E3C1B"/>
    <w:rsid w:val="23476302"/>
    <w:rsid w:val="240146AC"/>
    <w:rsid w:val="24867FFC"/>
    <w:rsid w:val="24C53825"/>
    <w:rsid w:val="24CA1DFB"/>
    <w:rsid w:val="24D04078"/>
    <w:rsid w:val="25316AEF"/>
    <w:rsid w:val="2619206E"/>
    <w:rsid w:val="269C2A6B"/>
    <w:rsid w:val="276C2F62"/>
    <w:rsid w:val="27AC133C"/>
    <w:rsid w:val="281B770A"/>
    <w:rsid w:val="28C05208"/>
    <w:rsid w:val="29145568"/>
    <w:rsid w:val="299C044D"/>
    <w:rsid w:val="2A091802"/>
    <w:rsid w:val="2A0F3342"/>
    <w:rsid w:val="2A92757C"/>
    <w:rsid w:val="2AAD6EC7"/>
    <w:rsid w:val="2AC23E9E"/>
    <w:rsid w:val="2ADD326D"/>
    <w:rsid w:val="2B88302D"/>
    <w:rsid w:val="2C035EB7"/>
    <w:rsid w:val="2C182377"/>
    <w:rsid w:val="2C775ACC"/>
    <w:rsid w:val="2CC1754C"/>
    <w:rsid w:val="2D2D26B1"/>
    <w:rsid w:val="2D79095B"/>
    <w:rsid w:val="2EA66204"/>
    <w:rsid w:val="2F1C3CE0"/>
    <w:rsid w:val="2F4062B2"/>
    <w:rsid w:val="2F4A68BD"/>
    <w:rsid w:val="2F681FE1"/>
    <w:rsid w:val="2FBF2EFF"/>
    <w:rsid w:val="30766578"/>
    <w:rsid w:val="30794D61"/>
    <w:rsid w:val="307B4445"/>
    <w:rsid w:val="30AE1D67"/>
    <w:rsid w:val="30BF6FE3"/>
    <w:rsid w:val="30D45E75"/>
    <w:rsid w:val="313A25FE"/>
    <w:rsid w:val="32104BE3"/>
    <w:rsid w:val="32213495"/>
    <w:rsid w:val="323B0F39"/>
    <w:rsid w:val="32B1041E"/>
    <w:rsid w:val="32F96E7E"/>
    <w:rsid w:val="3352550E"/>
    <w:rsid w:val="34156743"/>
    <w:rsid w:val="344D55E7"/>
    <w:rsid w:val="34925650"/>
    <w:rsid w:val="352F5465"/>
    <w:rsid w:val="354E6FE6"/>
    <w:rsid w:val="35912376"/>
    <w:rsid w:val="359209A2"/>
    <w:rsid w:val="35A74912"/>
    <w:rsid w:val="35E27B36"/>
    <w:rsid w:val="36642DFC"/>
    <w:rsid w:val="366F5CEA"/>
    <w:rsid w:val="36C85365"/>
    <w:rsid w:val="36F16035"/>
    <w:rsid w:val="37661FE5"/>
    <w:rsid w:val="37710C6C"/>
    <w:rsid w:val="378579A5"/>
    <w:rsid w:val="37A802A0"/>
    <w:rsid w:val="37BA3AA7"/>
    <w:rsid w:val="37C361FD"/>
    <w:rsid w:val="3867064F"/>
    <w:rsid w:val="388613F2"/>
    <w:rsid w:val="38E51829"/>
    <w:rsid w:val="39377791"/>
    <w:rsid w:val="39995A7B"/>
    <w:rsid w:val="3A255471"/>
    <w:rsid w:val="3A2E66E8"/>
    <w:rsid w:val="3A4B5B65"/>
    <w:rsid w:val="3A6C303F"/>
    <w:rsid w:val="3A7D538A"/>
    <w:rsid w:val="3B0A275B"/>
    <w:rsid w:val="3B8A2170"/>
    <w:rsid w:val="3BD520E4"/>
    <w:rsid w:val="3BEE38D0"/>
    <w:rsid w:val="3C1C29CC"/>
    <w:rsid w:val="3C607B29"/>
    <w:rsid w:val="3CC069B9"/>
    <w:rsid w:val="3D14730D"/>
    <w:rsid w:val="3D1A02F8"/>
    <w:rsid w:val="3D4977D4"/>
    <w:rsid w:val="3DA94856"/>
    <w:rsid w:val="3DC9733C"/>
    <w:rsid w:val="3DD64BE6"/>
    <w:rsid w:val="3DDD76A6"/>
    <w:rsid w:val="3DEF6AE9"/>
    <w:rsid w:val="3E3F27CB"/>
    <w:rsid w:val="3EB07A49"/>
    <w:rsid w:val="3EDE50CE"/>
    <w:rsid w:val="3EE14741"/>
    <w:rsid w:val="3EEC2282"/>
    <w:rsid w:val="3F025F65"/>
    <w:rsid w:val="3F18317E"/>
    <w:rsid w:val="3FFA2E56"/>
    <w:rsid w:val="40140988"/>
    <w:rsid w:val="403132E9"/>
    <w:rsid w:val="409828AB"/>
    <w:rsid w:val="41193413"/>
    <w:rsid w:val="41943312"/>
    <w:rsid w:val="41B527F8"/>
    <w:rsid w:val="41CC4DC7"/>
    <w:rsid w:val="41CF27EE"/>
    <w:rsid w:val="42040FCD"/>
    <w:rsid w:val="42101EF8"/>
    <w:rsid w:val="423D1603"/>
    <w:rsid w:val="426474BA"/>
    <w:rsid w:val="4297083C"/>
    <w:rsid w:val="4368128D"/>
    <w:rsid w:val="43A87ADF"/>
    <w:rsid w:val="43E94A28"/>
    <w:rsid w:val="44246D81"/>
    <w:rsid w:val="44E505BC"/>
    <w:rsid w:val="455B030A"/>
    <w:rsid w:val="45846D2E"/>
    <w:rsid w:val="45FD4CF3"/>
    <w:rsid w:val="46830F6D"/>
    <w:rsid w:val="46F229ED"/>
    <w:rsid w:val="479E4A78"/>
    <w:rsid w:val="4807784D"/>
    <w:rsid w:val="487D38A1"/>
    <w:rsid w:val="48B44D88"/>
    <w:rsid w:val="49EB3890"/>
    <w:rsid w:val="4A6F1416"/>
    <w:rsid w:val="4B085E99"/>
    <w:rsid w:val="4B1D5CBD"/>
    <w:rsid w:val="4B562400"/>
    <w:rsid w:val="4B714B09"/>
    <w:rsid w:val="4BE87947"/>
    <w:rsid w:val="4CA142AA"/>
    <w:rsid w:val="4D010CAE"/>
    <w:rsid w:val="4D462DB3"/>
    <w:rsid w:val="4D766B4D"/>
    <w:rsid w:val="4DC04A82"/>
    <w:rsid w:val="4E0C1F35"/>
    <w:rsid w:val="4EC623A2"/>
    <w:rsid w:val="4F070A88"/>
    <w:rsid w:val="4F1D5791"/>
    <w:rsid w:val="4F2911BA"/>
    <w:rsid w:val="4FE133D0"/>
    <w:rsid w:val="51BB1B8F"/>
    <w:rsid w:val="51C02342"/>
    <w:rsid w:val="51F27DEC"/>
    <w:rsid w:val="520B6BB1"/>
    <w:rsid w:val="52BC7922"/>
    <w:rsid w:val="533C0956"/>
    <w:rsid w:val="537E4A88"/>
    <w:rsid w:val="53A03A60"/>
    <w:rsid w:val="54241F6B"/>
    <w:rsid w:val="547938FA"/>
    <w:rsid w:val="55032FCE"/>
    <w:rsid w:val="556F7F32"/>
    <w:rsid w:val="55BB03F5"/>
    <w:rsid w:val="56746D53"/>
    <w:rsid w:val="56A85426"/>
    <w:rsid w:val="575D2D80"/>
    <w:rsid w:val="57742E0C"/>
    <w:rsid w:val="577C0582"/>
    <w:rsid w:val="58B01CE7"/>
    <w:rsid w:val="598C2C8B"/>
    <w:rsid w:val="599F3F11"/>
    <w:rsid w:val="59BA4FE4"/>
    <w:rsid w:val="59E02DE2"/>
    <w:rsid w:val="5A0C1612"/>
    <w:rsid w:val="5A5625C5"/>
    <w:rsid w:val="5A6C741B"/>
    <w:rsid w:val="5A7E570E"/>
    <w:rsid w:val="5AC70B3C"/>
    <w:rsid w:val="5AE540AB"/>
    <w:rsid w:val="5AF34CFD"/>
    <w:rsid w:val="5AFB4B9C"/>
    <w:rsid w:val="5B7A347E"/>
    <w:rsid w:val="5B7A7336"/>
    <w:rsid w:val="5C0F44CB"/>
    <w:rsid w:val="5D1029CB"/>
    <w:rsid w:val="5D231F11"/>
    <w:rsid w:val="5D2C4196"/>
    <w:rsid w:val="5D2F22C7"/>
    <w:rsid w:val="5D875869"/>
    <w:rsid w:val="5DA80FCB"/>
    <w:rsid w:val="5DC3687B"/>
    <w:rsid w:val="5E7462A8"/>
    <w:rsid w:val="5EE97B17"/>
    <w:rsid w:val="5F9E0E9F"/>
    <w:rsid w:val="5FEF559C"/>
    <w:rsid w:val="60127ADF"/>
    <w:rsid w:val="605C0087"/>
    <w:rsid w:val="605F6B95"/>
    <w:rsid w:val="6112113F"/>
    <w:rsid w:val="615C4212"/>
    <w:rsid w:val="615D23D5"/>
    <w:rsid w:val="6162573A"/>
    <w:rsid w:val="619163BB"/>
    <w:rsid w:val="61F01D4B"/>
    <w:rsid w:val="61FB76C3"/>
    <w:rsid w:val="62200034"/>
    <w:rsid w:val="62F90921"/>
    <w:rsid w:val="635D19DB"/>
    <w:rsid w:val="638B6EFE"/>
    <w:rsid w:val="63B86748"/>
    <w:rsid w:val="63CA092B"/>
    <w:rsid w:val="64F418E5"/>
    <w:rsid w:val="64FB1CDE"/>
    <w:rsid w:val="65C16DB5"/>
    <w:rsid w:val="664067C9"/>
    <w:rsid w:val="667B512D"/>
    <w:rsid w:val="66827A08"/>
    <w:rsid w:val="6706374E"/>
    <w:rsid w:val="678F5447"/>
    <w:rsid w:val="67F9160D"/>
    <w:rsid w:val="68107CDF"/>
    <w:rsid w:val="687B5830"/>
    <w:rsid w:val="69200DA2"/>
    <w:rsid w:val="694767D7"/>
    <w:rsid w:val="6A717BF7"/>
    <w:rsid w:val="6A870642"/>
    <w:rsid w:val="6AF50221"/>
    <w:rsid w:val="6B0A7DAF"/>
    <w:rsid w:val="6B4066F1"/>
    <w:rsid w:val="6B8515B7"/>
    <w:rsid w:val="6D6D3E35"/>
    <w:rsid w:val="6DA24EF9"/>
    <w:rsid w:val="6DBC0145"/>
    <w:rsid w:val="6DFB38D5"/>
    <w:rsid w:val="6E877D16"/>
    <w:rsid w:val="6F3B11D9"/>
    <w:rsid w:val="6F5807BA"/>
    <w:rsid w:val="6F6161AE"/>
    <w:rsid w:val="6F631E75"/>
    <w:rsid w:val="6F9B7182"/>
    <w:rsid w:val="6FC45370"/>
    <w:rsid w:val="706B5CA7"/>
    <w:rsid w:val="7071418F"/>
    <w:rsid w:val="70AC543D"/>
    <w:rsid w:val="714F6CEE"/>
    <w:rsid w:val="7168237D"/>
    <w:rsid w:val="721E03CA"/>
    <w:rsid w:val="722C0E4E"/>
    <w:rsid w:val="72E5407F"/>
    <w:rsid w:val="73086718"/>
    <w:rsid w:val="747E599C"/>
    <w:rsid w:val="74CA6BBD"/>
    <w:rsid w:val="762C11D4"/>
    <w:rsid w:val="764158C5"/>
    <w:rsid w:val="76DE58C3"/>
    <w:rsid w:val="77347E10"/>
    <w:rsid w:val="77E210F7"/>
    <w:rsid w:val="7885382A"/>
    <w:rsid w:val="78CB3C6E"/>
    <w:rsid w:val="790C3ADC"/>
    <w:rsid w:val="7934534E"/>
    <w:rsid w:val="79371BDA"/>
    <w:rsid w:val="793C0B2F"/>
    <w:rsid w:val="7A147825"/>
    <w:rsid w:val="7A256940"/>
    <w:rsid w:val="7A4F6212"/>
    <w:rsid w:val="7A964584"/>
    <w:rsid w:val="7B0C679D"/>
    <w:rsid w:val="7B160590"/>
    <w:rsid w:val="7B4F7E4B"/>
    <w:rsid w:val="7B690727"/>
    <w:rsid w:val="7B9062A2"/>
    <w:rsid w:val="7BD54D7E"/>
    <w:rsid w:val="7BFB2B07"/>
    <w:rsid w:val="7C1F1BB7"/>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1"/>
    <w:next w:val="1"/>
    <w:link w:val="62"/>
    <w:qFormat/>
    <w:uiPriority w:val="99"/>
    <w:pPr>
      <w:outlineLvl w:val="2"/>
    </w:pPr>
    <w:rPr>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 w:type="paragraph" w:customStyle="1" w:styleId="156">
    <w:name w:val="목록 단락"/>
    <w:basedOn w:val="1"/>
    <w:qFormat/>
    <w:uiPriority w:val="34"/>
    <w:pPr>
      <w:overflowPunct w:val="0"/>
      <w:autoSpaceDE w:val="0"/>
      <w:autoSpaceDN w:val="0"/>
      <w:adjustRightInd w:val="0"/>
      <w:ind w:left="800" w:leftChars="400"/>
      <w:textAlignment w:val="baseline"/>
    </w:pPr>
    <w:rPr>
      <w:rFonts w:eastAsia="Times New Roman"/>
      <w:lang w:eastAsia="en-GB"/>
    </w:rPr>
  </w:style>
  <w:style w:type="paragraph" w:customStyle="1" w:styleId="157">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2148</Words>
  <Characters>12246</Characters>
  <Lines>102</Lines>
  <Paragraphs>28</Paragraphs>
  <TotalTime>59</TotalTime>
  <ScaleCrop>false</ScaleCrop>
  <LinksUpToDate>false</LinksUpToDate>
  <CharactersWithSpaces>14366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2023-02-16T09:40:33Z</dcterms:modified>
  <dc:subject>Word for Windows 6.x &amp; 95+</dc:subject>
  <dc:title>ETSI stylesheet (v.7.0)</dc:title>
  <cp:revision>1835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